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spacing w:before="580" w:after="460" w:line="662" w:lineRule="exact"/>
        <w:rPr>
          <w:lang w:eastAsia="zh-CN"/>
        </w:rPr>
      </w:pPr>
      <w:bookmarkStart w:id="0" w:name="bookmark1"/>
      <w:bookmarkStart w:id="1" w:name="bookmark0"/>
      <w:bookmarkStart w:id="2" w:name="bookmark2"/>
      <w:r>
        <w:rPr>
          <w:lang w:eastAsia="zh-CN"/>
        </w:rPr>
        <w:t>普通高等学校本科教育教学审核评估</w:t>
      </w:r>
      <w:r>
        <w:rPr>
          <w:lang w:eastAsia="zh-CN"/>
        </w:rPr>
        <w:br w:type="textWrapping"/>
      </w:r>
      <w:r>
        <w:rPr>
          <w:lang w:eastAsia="zh-CN"/>
        </w:rPr>
        <w:t>自评报告</w:t>
      </w:r>
      <w:bookmarkEnd w:id="0"/>
      <w:bookmarkEnd w:id="1"/>
      <w:bookmarkEnd w:id="2"/>
    </w:p>
    <w:p>
      <w:pPr>
        <w:pStyle w:val="11"/>
        <w:spacing w:after="2320"/>
        <w:ind w:left="0"/>
        <w:jc w:val="center"/>
        <w:rPr>
          <w:lang w:eastAsia="zh-CN"/>
        </w:rPr>
      </w:pPr>
      <w:r>
        <w:rPr>
          <w:lang w:eastAsia="zh-CN"/>
        </w:rPr>
        <w:t>（第二类）</w:t>
      </w:r>
    </w:p>
    <w:p>
      <w:pPr>
        <w:pStyle w:val="11"/>
        <w:spacing w:after="0"/>
        <w:ind w:left="0"/>
        <w:jc w:val="center"/>
        <w:rPr>
          <w:rFonts w:ascii="宋体" w:hAnsi="宋体" w:eastAsia="宋体" w:cs="宋体"/>
          <w:sz w:val="24"/>
          <w:szCs w:val="24"/>
          <w:lang w:eastAsia="zh-CN"/>
        </w:rPr>
      </w:pPr>
      <w:r>
        <w:rPr>
          <w:sz w:val="24"/>
          <w:szCs w:val="24"/>
          <w:lang w:eastAsia="zh-CN"/>
        </w:rPr>
        <w:t>&lt;可以插入学校的</w:t>
      </w:r>
      <w:r>
        <w:rPr>
          <w:rFonts w:ascii="Arial" w:hAnsi="Arial" w:eastAsia="Arial" w:cs="Arial"/>
          <w:sz w:val="24"/>
          <w:szCs w:val="24"/>
          <w:lang w:eastAsia="zh-CN"/>
        </w:rPr>
        <w:t>logo</w:t>
      </w:r>
      <w:r>
        <w:rPr>
          <w:rFonts w:hint="eastAsia" w:ascii="宋体" w:hAnsi="宋体" w:eastAsia="宋体" w:cs="宋体"/>
          <w:sz w:val="24"/>
          <w:szCs w:val="24"/>
          <w:lang w:eastAsia="zh-CN"/>
        </w:rPr>
        <w:t>&gt;</w:t>
      </w:r>
    </w:p>
    <w:p>
      <w:pPr>
        <w:pStyle w:val="11"/>
        <w:spacing w:after="0"/>
        <w:ind w:left="0"/>
        <w:jc w:val="center"/>
        <w:rPr>
          <w:rFonts w:ascii="宋体" w:hAnsi="宋体" w:eastAsia="宋体" w:cs="宋体"/>
          <w:sz w:val="24"/>
          <w:szCs w:val="24"/>
          <w:lang w:eastAsia="zh-CN"/>
        </w:rPr>
      </w:pPr>
    </w:p>
    <w:p>
      <w:pPr>
        <w:pStyle w:val="11"/>
        <w:spacing w:after="0"/>
        <w:ind w:left="0"/>
        <w:jc w:val="center"/>
        <w:rPr>
          <w:rFonts w:ascii="宋体" w:hAnsi="宋体" w:eastAsia="宋体" w:cs="宋体"/>
          <w:sz w:val="24"/>
          <w:szCs w:val="24"/>
          <w:lang w:eastAsia="zh-CN"/>
        </w:rPr>
      </w:pPr>
    </w:p>
    <w:p>
      <w:pPr>
        <w:pStyle w:val="11"/>
        <w:spacing w:after="0"/>
        <w:ind w:left="0"/>
        <w:jc w:val="center"/>
        <w:rPr>
          <w:rFonts w:ascii="宋体" w:hAnsi="宋体" w:eastAsia="宋体" w:cs="宋体"/>
          <w:sz w:val="24"/>
          <w:szCs w:val="24"/>
          <w:lang w:eastAsia="zh-CN"/>
        </w:rPr>
      </w:pPr>
    </w:p>
    <w:p>
      <w:pPr>
        <w:pStyle w:val="11"/>
        <w:spacing w:after="0"/>
        <w:ind w:left="0"/>
        <w:jc w:val="center"/>
        <w:rPr>
          <w:rFonts w:ascii="宋体" w:hAnsi="宋体" w:eastAsia="宋体" w:cs="宋体"/>
          <w:sz w:val="24"/>
          <w:szCs w:val="24"/>
          <w:lang w:eastAsia="zh-CN"/>
        </w:rPr>
      </w:pPr>
    </w:p>
    <w:p>
      <w:pPr>
        <w:pStyle w:val="11"/>
        <w:spacing w:after="0"/>
        <w:ind w:left="0"/>
        <w:jc w:val="center"/>
        <w:rPr>
          <w:rFonts w:hint="eastAsia"/>
          <w:sz w:val="24"/>
          <w:szCs w:val="24"/>
          <w:lang w:eastAsia="zh-CN"/>
        </w:rPr>
      </w:pPr>
    </w:p>
    <w:p>
      <w:pPr>
        <w:pStyle w:val="11"/>
        <w:ind w:left="1700"/>
        <w:rPr>
          <w:lang w:eastAsia="zh-CN"/>
        </w:rPr>
      </w:pPr>
      <w:r>
        <w:rPr>
          <w:lang w:eastAsia="zh-CN"/>
        </w:rPr>
        <w:t>学校名称（公章）:</w:t>
      </w:r>
    </w:p>
    <w:p>
      <w:pPr>
        <w:pStyle w:val="11"/>
        <w:ind w:left="1700"/>
        <w:rPr>
          <w:lang w:eastAsia="zh-CN"/>
        </w:rPr>
      </w:pPr>
      <w:r>
        <w:rPr>
          <w:lang w:eastAsia="zh-CN"/>
        </w:rPr>
        <w:t>学校联系人：</w:t>
      </w:r>
    </w:p>
    <w:p>
      <w:pPr>
        <w:pStyle w:val="11"/>
        <w:ind w:left="1700"/>
        <w:rPr>
          <w:lang w:eastAsia="zh-CN"/>
        </w:rPr>
      </w:pPr>
      <w:r>
        <w:rPr>
          <w:lang w:eastAsia="zh-CN"/>
        </w:rPr>
        <w:t>联系电话：</w:t>
      </w:r>
    </w:p>
    <w:p>
      <w:pPr>
        <w:pStyle w:val="11"/>
        <w:ind w:left="1700"/>
        <w:rPr>
          <w:lang w:eastAsia="zh-CN"/>
        </w:rPr>
      </w:pPr>
      <w:r>
        <w:rPr>
          <w:lang w:eastAsia="zh-CN"/>
        </w:rPr>
        <w:t>联系邮箱：</w:t>
      </w:r>
    </w:p>
    <w:p>
      <w:pPr>
        <w:pStyle w:val="11"/>
        <w:spacing w:after="400"/>
        <w:ind w:left="1700"/>
        <w:rPr>
          <w:lang w:eastAsia="zh-CN"/>
        </w:rPr>
      </w:pPr>
      <w:r>
        <w:rPr>
          <w:lang w:eastAsia="zh-CN"/>
        </w:rPr>
        <w:t>学校校长（签字）:</w:t>
      </w:r>
    </w:p>
    <w:p>
      <w:pPr>
        <w:pStyle w:val="11"/>
        <w:spacing w:after="260"/>
        <w:ind w:left="0"/>
        <w:jc w:val="center"/>
        <w:rPr>
          <w:lang w:eastAsia="zh-CN"/>
        </w:rPr>
      </w:pPr>
      <w:r>
        <w:rPr>
          <w:lang w:eastAsia="zh-CN"/>
        </w:rPr>
        <w:t>撰</w:t>
      </w:r>
      <w:r>
        <w:rPr>
          <w:rFonts w:hint="eastAsia"/>
          <w:lang w:eastAsia="zh-CN"/>
        </w:rPr>
        <w:t xml:space="preserve"> </w:t>
      </w:r>
      <w:r>
        <w:rPr>
          <w:lang w:eastAsia="zh-CN"/>
        </w:rPr>
        <w:t>写</w:t>
      </w:r>
      <w:r>
        <w:rPr>
          <w:rFonts w:hint="eastAsia"/>
          <w:lang w:eastAsia="zh-CN"/>
        </w:rPr>
        <w:t xml:space="preserve"> </w:t>
      </w:r>
      <w:r>
        <w:rPr>
          <w:lang w:eastAsia="zh-CN"/>
        </w:rPr>
        <w:t>说</w:t>
      </w:r>
      <w:r>
        <w:rPr>
          <w:rFonts w:hint="eastAsia"/>
          <w:lang w:eastAsia="zh-CN"/>
        </w:rPr>
        <w:t xml:space="preserve"> </w:t>
      </w:r>
      <w:r>
        <w:rPr>
          <w:lang w:eastAsia="zh-CN"/>
        </w:rPr>
        <w:t>明</w:t>
      </w:r>
    </w:p>
    <w:p>
      <w:pPr>
        <w:pStyle w:val="13"/>
        <w:tabs>
          <w:tab w:val="left" w:pos="750"/>
        </w:tabs>
        <w:spacing w:line="451" w:lineRule="exact"/>
        <w:ind w:firstLineChars="200"/>
        <w:jc w:val="both"/>
        <w:rPr>
          <w:rFonts w:ascii="仿宋" w:hAnsi="仿宋" w:eastAsia="仿宋"/>
          <w:lang w:eastAsia="zh-CN"/>
        </w:rPr>
      </w:pPr>
      <w:bookmarkStart w:id="3" w:name="bookmark3"/>
      <w:bookmarkEnd w:id="3"/>
      <w:r>
        <w:rPr>
          <w:rFonts w:hint="eastAsia" w:ascii="仿宋" w:hAnsi="仿宋" w:eastAsia="仿宋"/>
          <w:lang w:eastAsia="zh-CN"/>
        </w:rPr>
        <w:t>1</w:t>
      </w:r>
      <w:r>
        <w:rPr>
          <w:rFonts w:ascii="仿宋" w:hAnsi="仿宋" w:eastAsia="仿宋"/>
          <w:lang w:eastAsia="zh-CN"/>
        </w:rPr>
        <w:t>.高校应按照自选的个性化评估指标体系撰写自评报告。</w:t>
      </w:r>
    </w:p>
    <w:p>
      <w:pPr>
        <w:pStyle w:val="13"/>
        <w:tabs>
          <w:tab w:val="left" w:pos="738"/>
        </w:tabs>
        <w:spacing w:line="451" w:lineRule="exact"/>
        <w:ind w:firstLineChars="200"/>
        <w:jc w:val="both"/>
        <w:rPr>
          <w:rFonts w:ascii="仿宋" w:hAnsi="仿宋" w:eastAsia="仿宋"/>
          <w:lang w:eastAsia="zh-CN"/>
        </w:rPr>
      </w:pPr>
      <w:bookmarkStart w:id="4" w:name="bookmark4"/>
      <w:bookmarkEnd w:id="4"/>
      <w:r>
        <w:rPr>
          <w:rFonts w:hint="eastAsia" w:ascii="仿宋" w:hAnsi="仿宋" w:eastAsia="仿宋"/>
          <w:lang w:eastAsia="zh-CN"/>
        </w:rPr>
        <w:t>2</w:t>
      </w:r>
      <w:r>
        <w:rPr>
          <w:rFonts w:ascii="仿宋" w:hAnsi="仿宋" w:eastAsia="仿宋"/>
          <w:lang w:eastAsia="zh-CN"/>
        </w:rPr>
        <w:t>.本指导书中所列内容是审核评估的基本要求，《自评报告》应包含但不限于这些内容，指导书所提供的撰写模板也仅供参评学校撰写时参考。</w:t>
      </w:r>
    </w:p>
    <w:p>
      <w:pPr>
        <w:pStyle w:val="13"/>
        <w:tabs>
          <w:tab w:val="left" w:pos="776"/>
        </w:tabs>
        <w:spacing w:line="442" w:lineRule="exact"/>
        <w:ind w:firstLineChars="200"/>
        <w:jc w:val="both"/>
        <w:rPr>
          <w:rFonts w:ascii="仿宋" w:hAnsi="仿宋" w:eastAsia="仿宋"/>
          <w:lang w:eastAsia="zh-CN"/>
        </w:rPr>
      </w:pPr>
      <w:bookmarkStart w:id="5" w:name="bookmark5"/>
      <w:bookmarkEnd w:id="5"/>
      <w:r>
        <w:rPr>
          <w:rFonts w:hint="eastAsia" w:ascii="仿宋" w:hAnsi="仿宋" w:eastAsia="仿宋"/>
          <w:lang w:eastAsia="zh-CN"/>
        </w:rPr>
        <w:t>3</w:t>
      </w:r>
      <w:r>
        <w:rPr>
          <w:rFonts w:ascii="仿宋" w:hAnsi="仿宋" w:eastAsia="仿宋"/>
          <w:lang w:eastAsia="zh-CN"/>
        </w:rPr>
        <w:t>.《自评报告》总字数控制在4万字以内（不含附录），总字数可在各部分中自行调节，建议的各部分控制字数供参考。存在的问题、原因分析以及改进措施不少于自评结果部分的三分之一。</w:t>
      </w:r>
    </w:p>
    <w:p>
      <w:pPr>
        <w:pStyle w:val="13"/>
        <w:tabs>
          <w:tab w:val="left" w:pos="764"/>
        </w:tabs>
        <w:spacing w:line="442" w:lineRule="exact"/>
        <w:ind w:firstLineChars="200"/>
        <w:jc w:val="both"/>
        <w:rPr>
          <w:rFonts w:ascii="仿宋" w:hAnsi="仿宋" w:eastAsia="仿宋"/>
          <w:lang w:eastAsia="zh-CN"/>
        </w:rPr>
      </w:pPr>
      <w:bookmarkStart w:id="6" w:name="bookmark6"/>
      <w:bookmarkEnd w:id="6"/>
      <w:r>
        <w:rPr>
          <w:rFonts w:hint="eastAsia" w:ascii="仿宋" w:hAnsi="仿宋" w:eastAsia="仿宋"/>
          <w:lang w:eastAsia="zh-CN"/>
        </w:rPr>
        <w:t>4</w:t>
      </w:r>
      <w:r>
        <w:rPr>
          <w:rFonts w:ascii="仿宋" w:hAnsi="仿宋" w:eastAsia="仿宋"/>
          <w:lang w:eastAsia="zh-CN"/>
        </w:rPr>
        <w:t>.评估指标体系中的定量指标数据由教育部评估中心提供，无需学校再统计填写。</w:t>
      </w:r>
    </w:p>
    <w:p>
      <w:pPr>
        <w:pStyle w:val="13"/>
        <w:tabs>
          <w:tab w:val="left" w:pos="771"/>
        </w:tabs>
        <w:spacing w:line="442" w:lineRule="exact"/>
        <w:ind w:firstLineChars="200"/>
        <w:jc w:val="both"/>
        <w:rPr>
          <w:rFonts w:ascii="仿宋" w:hAnsi="仿宋" w:eastAsia="仿宋"/>
          <w:lang w:eastAsia="zh-CN"/>
        </w:rPr>
      </w:pPr>
      <w:bookmarkStart w:id="7" w:name="bookmark7"/>
      <w:bookmarkEnd w:id="7"/>
      <w:r>
        <w:rPr>
          <w:rFonts w:hint="eastAsia" w:ascii="仿宋" w:hAnsi="仿宋" w:eastAsia="仿宋"/>
          <w:lang w:eastAsia="zh-CN"/>
        </w:rPr>
        <w:t>5</w:t>
      </w:r>
      <w:r>
        <w:rPr>
          <w:rFonts w:ascii="仿宋" w:hAnsi="仿宋" w:eastAsia="仿宋"/>
          <w:lang w:eastAsia="zh-CN"/>
        </w:rPr>
        <w:t>.格式文本中的黑体字体为规定内容，撰写时予以保留；其他字体为提示参考,撰写时不需保留。</w:t>
      </w:r>
    </w:p>
    <w:p>
      <w:pPr>
        <w:pStyle w:val="13"/>
        <w:tabs>
          <w:tab w:val="left" w:pos="762"/>
        </w:tabs>
        <w:spacing w:line="442" w:lineRule="exact"/>
        <w:ind w:firstLineChars="200"/>
        <w:jc w:val="both"/>
        <w:rPr>
          <w:rFonts w:ascii="仿宋" w:hAnsi="仿宋" w:eastAsia="仿宋"/>
          <w:lang w:eastAsia="zh-CN"/>
        </w:rPr>
      </w:pPr>
      <w:bookmarkStart w:id="8" w:name="bookmark8"/>
      <w:bookmarkEnd w:id="8"/>
      <w:r>
        <w:rPr>
          <w:rFonts w:ascii="仿宋" w:hAnsi="仿宋" w:eastAsia="仿宋"/>
          <w:lang w:eastAsia="zh-CN"/>
        </w:rPr>
        <w:t>6.支撑材料目录应作为《自评报告》附录列出，每个二级审核指标自评结果后面应分别列出相关支撑材料索引。</w:t>
      </w:r>
    </w:p>
    <w:p>
      <w:pPr>
        <w:pStyle w:val="13"/>
        <w:tabs>
          <w:tab w:val="left" w:pos="762"/>
        </w:tabs>
        <w:spacing w:line="442" w:lineRule="exact"/>
        <w:ind w:firstLineChars="200"/>
        <w:jc w:val="both"/>
        <w:rPr>
          <w:rFonts w:ascii="仿宋" w:hAnsi="仿宋" w:eastAsia="仿宋"/>
          <w:lang w:eastAsia="zh-CN"/>
        </w:rPr>
      </w:pPr>
      <w:bookmarkStart w:id="9" w:name="bookmark9"/>
      <w:bookmarkEnd w:id="9"/>
      <w:r>
        <w:rPr>
          <w:rFonts w:ascii="仿宋" w:hAnsi="仿宋" w:eastAsia="仿宋"/>
          <w:lang w:eastAsia="zh-CN"/>
        </w:rPr>
        <w:t>7.《自评报告》中的数据应与《本科教学状态数据分析报告》的数据一致，如果由于数据采集的时间节点不同等原因而导致数据不一致，须附补充说明。</w:t>
      </w:r>
    </w:p>
    <w:p>
      <w:pPr>
        <w:pStyle w:val="13"/>
        <w:tabs>
          <w:tab w:val="left" w:pos="771"/>
        </w:tabs>
        <w:spacing w:after="140" w:line="442" w:lineRule="exact"/>
        <w:ind w:firstLineChars="200"/>
        <w:jc w:val="both"/>
        <w:rPr>
          <w:rFonts w:ascii="仿宋" w:hAnsi="仿宋" w:eastAsia="仿宋"/>
          <w:lang w:eastAsia="zh-CN"/>
        </w:rPr>
        <w:sectPr>
          <w:headerReference r:id="rId5" w:type="default"/>
          <w:headerReference r:id="rId6" w:type="even"/>
          <w:pgSz w:w="9547" w:h="14568"/>
          <w:pgMar w:top="1536" w:right="685" w:bottom="2453" w:left="611" w:header="0" w:footer="3" w:gutter="0"/>
          <w:pgNumType w:start="81"/>
          <w:cols w:space="720" w:num="1"/>
          <w:docGrid w:linePitch="360" w:charSpace="0"/>
        </w:sectPr>
      </w:pPr>
      <w:bookmarkStart w:id="10" w:name="bookmark10"/>
      <w:bookmarkEnd w:id="10"/>
      <w:r>
        <w:rPr>
          <w:rFonts w:ascii="仿宋" w:hAnsi="仿宋" w:eastAsia="仿宋"/>
          <w:lang w:eastAsia="zh-CN"/>
        </w:rPr>
        <w:t>8.异地校区情况是学校整体情况的一部分，若学校有异地校区，《自评报告》正文文本不应将其排除在外，且异地校区情况还应单独说明附后。</w:t>
      </w:r>
    </w:p>
    <w:p>
      <w:pPr>
        <w:pStyle w:val="7"/>
        <w:keepNext/>
        <w:keepLines/>
        <w:spacing w:before="1560" w:after="1380" w:line="240" w:lineRule="auto"/>
        <w:rPr>
          <w:lang w:eastAsia="zh-CN"/>
        </w:rPr>
      </w:pPr>
      <w:bookmarkStart w:id="11" w:name="bookmark11"/>
      <w:bookmarkStart w:id="12" w:name="bookmark13"/>
      <w:bookmarkStart w:id="13" w:name="bookmark12"/>
      <w:r>
        <w:rPr>
          <w:lang w:eastAsia="zh-CN"/>
        </w:rPr>
        <w:t>本科教育教学审核评估自评报告</w:t>
      </w:r>
      <w:bookmarkEnd w:id="11"/>
      <w:bookmarkEnd w:id="12"/>
      <w:bookmarkEnd w:id="13"/>
    </w:p>
    <w:p>
      <w:pPr>
        <w:pStyle w:val="13"/>
        <w:spacing w:after="160" w:line="442" w:lineRule="exact"/>
        <w:ind w:firstLine="0"/>
        <w:jc w:val="center"/>
        <w:rPr>
          <w:rFonts w:ascii="仿宋" w:hAnsi="仿宋" w:eastAsia="仿宋"/>
          <w:lang w:eastAsia="zh-CN"/>
        </w:rPr>
      </w:pPr>
      <w:r>
        <w:rPr>
          <w:rFonts w:ascii="仿宋" w:hAnsi="仿宋" w:eastAsia="仿宋"/>
          <w:b/>
          <w:bCs/>
          <w:lang w:eastAsia="zh-CN"/>
        </w:rPr>
        <w:t>第一部分:学校简介</w:t>
      </w:r>
      <w:r>
        <w:rPr>
          <w:rFonts w:ascii="仿宋" w:hAnsi="仿宋" w:eastAsia="仿宋"/>
          <w:lang w:eastAsia="zh-CN"/>
        </w:rPr>
        <w:t>（不超过2000字）</w:t>
      </w:r>
    </w:p>
    <w:p>
      <w:pPr>
        <w:pStyle w:val="13"/>
        <w:numPr>
          <w:ilvl w:val="0"/>
          <w:numId w:val="1"/>
        </w:numPr>
        <w:tabs>
          <w:tab w:val="left" w:pos="771"/>
        </w:tabs>
        <w:spacing w:line="442" w:lineRule="exact"/>
        <w:ind w:firstLine="440"/>
        <w:jc w:val="both"/>
        <w:rPr>
          <w:rFonts w:ascii="仿宋" w:hAnsi="仿宋" w:eastAsia="仿宋"/>
          <w:lang w:eastAsia="zh-CN"/>
        </w:rPr>
      </w:pPr>
      <w:bookmarkStart w:id="14" w:name="bookmark14"/>
      <w:bookmarkEnd w:id="14"/>
      <w:r>
        <w:rPr>
          <w:rFonts w:ascii="仿宋" w:hAnsi="仿宋" w:eastAsia="仿宋"/>
          <w:lang w:eastAsia="zh-CN"/>
        </w:rPr>
        <w:t>简要介绍学校的历史沿革，隶属关系，学科布局，本科专业数量与结构，各类全日制在校生规模，专任教师规模，基本办学条件等。</w:t>
      </w:r>
    </w:p>
    <w:p>
      <w:pPr>
        <w:pStyle w:val="13"/>
        <w:numPr>
          <w:ilvl w:val="0"/>
          <w:numId w:val="1"/>
        </w:numPr>
        <w:tabs>
          <w:tab w:val="left" w:pos="784"/>
        </w:tabs>
        <w:spacing w:after="260" w:line="442" w:lineRule="exact"/>
        <w:ind w:firstLine="440"/>
        <w:jc w:val="both"/>
        <w:rPr>
          <w:rFonts w:ascii="仿宋" w:hAnsi="仿宋" w:eastAsia="仿宋"/>
          <w:lang w:eastAsia="zh-CN"/>
        </w:rPr>
      </w:pPr>
      <w:bookmarkStart w:id="15" w:name="bookmark15"/>
      <w:bookmarkEnd w:id="15"/>
      <w:r>
        <w:rPr>
          <w:rFonts w:ascii="仿宋" w:hAnsi="仿宋" w:eastAsia="仿宋"/>
          <w:lang w:eastAsia="zh-CN"/>
        </w:rPr>
        <w:t>学校近年来事业发展中所取得的显著成就与荣誉。</w:t>
      </w:r>
    </w:p>
    <w:p>
      <w:pPr>
        <w:pStyle w:val="13"/>
        <w:spacing w:after="160" w:line="442" w:lineRule="exact"/>
        <w:ind w:firstLine="0"/>
        <w:jc w:val="center"/>
        <w:rPr>
          <w:rFonts w:ascii="仿宋" w:hAnsi="仿宋" w:eastAsia="仿宋"/>
          <w:lang w:eastAsia="zh-CN"/>
        </w:rPr>
      </w:pPr>
      <w:r>
        <w:rPr>
          <w:rFonts w:ascii="仿宋" w:hAnsi="仿宋" w:eastAsia="仿宋"/>
          <w:b/>
          <w:bCs/>
          <w:lang w:eastAsia="zh-CN"/>
        </w:rPr>
        <w:t>第二部分:学校自评工作开展情况</w:t>
      </w:r>
      <w:r>
        <w:rPr>
          <w:rFonts w:ascii="仿宋" w:hAnsi="仿宋" w:eastAsia="仿宋"/>
          <w:lang w:eastAsia="zh-CN"/>
        </w:rPr>
        <w:t>（不超过2000字）</w:t>
      </w:r>
    </w:p>
    <w:p>
      <w:pPr>
        <w:pStyle w:val="13"/>
        <w:numPr>
          <w:ilvl w:val="0"/>
          <w:numId w:val="2"/>
        </w:numPr>
        <w:tabs>
          <w:tab w:val="left" w:pos="771"/>
        </w:tabs>
        <w:spacing w:line="442" w:lineRule="exact"/>
        <w:ind w:firstLine="440"/>
        <w:jc w:val="both"/>
        <w:rPr>
          <w:rFonts w:ascii="仿宋" w:hAnsi="仿宋" w:eastAsia="仿宋"/>
          <w:lang w:eastAsia="zh-CN"/>
        </w:rPr>
      </w:pPr>
      <w:bookmarkStart w:id="16" w:name="bookmark16"/>
      <w:bookmarkEnd w:id="16"/>
      <w:r>
        <w:rPr>
          <w:rFonts w:ascii="仿宋" w:hAnsi="仿宋" w:eastAsia="仿宋"/>
          <w:lang w:eastAsia="zh-CN"/>
        </w:rPr>
        <w:t>简要说明学校依据《普通高等学校本科教育教学审核评估实施方案（2021一2025年）》开展自评自建工作情况，包括组织机构、宣传发动、实施措施、经验以及评建工作取得的成效。</w:t>
      </w:r>
    </w:p>
    <w:p>
      <w:pPr>
        <w:pStyle w:val="13"/>
        <w:numPr>
          <w:ilvl w:val="0"/>
          <w:numId w:val="2"/>
        </w:numPr>
        <w:tabs>
          <w:tab w:val="left" w:pos="771"/>
        </w:tabs>
        <w:spacing w:after="260" w:line="442" w:lineRule="exact"/>
        <w:ind w:firstLine="440"/>
        <w:jc w:val="both"/>
        <w:rPr>
          <w:rFonts w:ascii="仿宋" w:hAnsi="仿宋" w:eastAsia="仿宋"/>
          <w:lang w:eastAsia="zh-CN"/>
        </w:rPr>
      </w:pPr>
      <w:bookmarkStart w:id="17" w:name="bookmark17"/>
      <w:bookmarkEnd w:id="17"/>
      <w:r>
        <w:rPr>
          <w:rFonts w:ascii="仿宋" w:hAnsi="仿宋" w:eastAsia="仿宋"/>
          <w:lang w:eastAsia="zh-CN"/>
        </w:rPr>
        <w:t>需附自查问题清单、支撑材料索引、学校审核评估工作领导小组、自评自建工作方案、自评自建过程记录等。</w:t>
      </w:r>
    </w:p>
    <w:p>
      <w:pPr>
        <w:pStyle w:val="13"/>
        <w:spacing w:after="440" w:line="442" w:lineRule="exact"/>
        <w:ind w:firstLine="0"/>
        <w:jc w:val="center"/>
        <w:rPr>
          <w:rFonts w:ascii="仿宋" w:hAnsi="仿宋" w:eastAsia="仿宋"/>
          <w:lang w:eastAsia="zh-CN"/>
        </w:rPr>
      </w:pPr>
      <w:r>
        <w:rPr>
          <w:rFonts w:ascii="仿宋" w:hAnsi="仿宋" w:eastAsia="仿宋"/>
          <w:b/>
          <w:bCs/>
          <w:lang w:eastAsia="zh-CN"/>
        </w:rPr>
        <w:t>第三部分:学校自评结果</w:t>
      </w:r>
      <w:r>
        <w:rPr>
          <w:rFonts w:ascii="仿宋" w:hAnsi="仿宋" w:eastAsia="仿宋"/>
          <w:lang w:eastAsia="zh-CN"/>
        </w:rPr>
        <w:t>（不超过36000字）</w:t>
      </w:r>
    </w:p>
    <w:p>
      <w:pPr>
        <w:pStyle w:val="13"/>
        <w:numPr>
          <w:ilvl w:val="0"/>
          <w:numId w:val="3"/>
        </w:numPr>
        <w:spacing w:after="160" w:line="442" w:lineRule="exact"/>
        <w:ind w:firstLine="440"/>
        <w:jc w:val="both"/>
        <w:rPr>
          <w:rFonts w:ascii="仿宋" w:hAnsi="仿宋" w:eastAsia="仿宋"/>
          <w:b/>
          <w:bCs/>
          <w:lang w:eastAsia="zh-CN"/>
        </w:rPr>
      </w:pPr>
      <w:bookmarkStart w:id="18" w:name="bookmark18"/>
      <w:bookmarkEnd w:id="18"/>
      <w:r>
        <w:rPr>
          <w:rFonts w:ascii="仿宋" w:hAnsi="仿宋" w:eastAsia="仿宋"/>
          <w:b/>
          <w:bCs/>
          <w:lang w:eastAsia="zh-CN"/>
        </w:rPr>
        <w:t>办学方向与本科地位</w:t>
      </w:r>
    </w:p>
    <w:p>
      <w:pPr>
        <w:pStyle w:val="13"/>
        <w:spacing w:line="438" w:lineRule="exact"/>
        <w:ind w:firstLine="440"/>
        <w:jc w:val="both"/>
        <w:rPr>
          <w:rFonts w:ascii="仿宋" w:hAnsi="仿宋" w:eastAsia="仿宋"/>
          <w:b/>
          <w:bCs/>
          <w:lang w:eastAsia="zh-CN"/>
        </w:rPr>
      </w:pPr>
      <w:r>
        <w:rPr>
          <w:rFonts w:ascii="仿宋" w:hAnsi="仿宋" w:eastAsia="仿宋"/>
          <w:b/>
          <w:bCs/>
          <w:lang w:eastAsia="zh-CN"/>
        </w:rPr>
        <w:t>1.1党的领导</w:t>
      </w:r>
    </w:p>
    <w:p>
      <w:pPr>
        <w:pStyle w:val="13"/>
        <w:spacing w:line="438" w:lineRule="exact"/>
        <w:ind w:firstLine="44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坚持以习近平新时代中国特色社会主义思想为指导，坚持党的全面领导，全面贯彻党的教育方针，依法治校，围绕国家战略需求培养担当民族复兴大任的时代新人，所采取的举措及取得的成效，特别是党的全面领导对学校高质量发展的引领作用。②学校是如何坚持社会主义办学方向、贯彻落实立德树人根本任务的，是否把立德树人成效作为检验学校工作的根本标准，如何体现，所采取的具体举措及取得的成效。</w:t>
      </w:r>
    </w:p>
    <w:p>
      <w:pPr>
        <w:pStyle w:val="13"/>
        <w:spacing w:line="439" w:lineRule="exact"/>
        <w:ind w:firstLine="46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：列出能够证明上述自评结果的相关材料目录索引，如学校在加强党的领导方面出台的制度文件；贯彻落实立德树人根本任务方面的成果、典型案例；相关会议或宣传报道材料，具体材料视专家需要时提供。</w:t>
      </w:r>
    </w:p>
    <w:p>
      <w:pPr>
        <w:pStyle w:val="13"/>
        <w:spacing w:line="439" w:lineRule="exact"/>
        <w:ind w:firstLine="460"/>
        <w:jc w:val="both"/>
        <w:rPr>
          <w:rFonts w:ascii="仿宋" w:hAnsi="仿宋" w:eastAsia="仿宋"/>
          <w:lang w:eastAsia="zh-CN"/>
        </w:rPr>
      </w:pPr>
      <w:r>
        <w:rPr>
          <w:rFonts w:ascii="仿宋" w:hAnsi="仿宋" w:eastAsia="仿宋"/>
          <w:lang w:eastAsia="zh-CN"/>
        </w:rPr>
        <w:t>如参评学校2021年以来接受了上级党组织的巡视，学校只需对照评估指标体系的内涵要求进行自我梳理，专家组将直接采用中央巡视或省部级巡视中对学校坚持党的领导和社会主义办学方向相关巡视成果及学校整改进展情况（含问题清单），学校也无需提供相关支撑材料。</w:t>
      </w:r>
    </w:p>
    <w:p>
      <w:pPr>
        <w:pStyle w:val="13"/>
        <w:spacing w:line="439" w:lineRule="exact"/>
        <w:ind w:firstLine="460"/>
        <w:jc w:val="both"/>
        <w:rPr>
          <w:rFonts w:ascii="仿宋" w:hAnsi="仿宋" w:eastAsia="仿宋"/>
          <w:b/>
          <w:bCs/>
          <w:lang w:eastAsia="zh-CN"/>
        </w:rPr>
      </w:pPr>
      <w:r>
        <w:rPr>
          <w:rFonts w:ascii="仿宋" w:hAnsi="仿宋" w:eastAsia="仿宋"/>
          <w:b/>
          <w:bCs/>
          <w:lang w:eastAsia="zh-CN"/>
        </w:rPr>
        <w:t>1.2思政教育</w:t>
      </w:r>
    </w:p>
    <w:p>
      <w:pPr>
        <w:pStyle w:val="13"/>
        <w:spacing w:line="439" w:lineRule="exact"/>
        <w:ind w:firstLine="46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贯彻落实《教育部等八部门关于加快构建高校思想政治工作体系的意见》（教思政〔2020〕1号）精神，构建思想政治教育工作体系情况如何？学校如何开展“三全育人“工作？成效如何？②学校在思想政治理论课教师队伍和思政课程建设方面的做法及成效；按要求开设“习近平总书记关于教育的重要论述研究”课程、落实习近平总书记在学校思想政治理论课教师座谈会上的指示、《新时代高等学校思想政治理论课教师队伍建设规定》（教育部令第46号）情况。③学校贯彻落实教育部《高等学校课程思政建设指导纲要》（教高〔2020〕3号）精神，在课程思政示范课程、课程思政教学研究示范中心建设、教学名师和团队建设方面的举措及成效（包括经费投入、教师进修培养、激励机制等）。④学校在师生思想政治、道德品质等方面负面问题的预警机制、应对处置措施及实施情况。⑤学校可通过必选定量指标达标情况、自选定量指标及常模数据比较情况，阐述学校的优势与成绩、做法与经验。</w:t>
      </w:r>
    </w:p>
    <w:p>
      <w:pPr>
        <w:pStyle w:val="13"/>
        <w:spacing w:line="439" w:lineRule="exact"/>
        <w:ind w:firstLine="46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在思政教育方面的制度文件；思想政治理论课教师队伍和思政课程建设方面的统计分析资料；课程思政的典型案例；课程思政示范课程、课程思政教学研究示范中心建设等资料；师生在思想政治、道德品质等方面出现负面问题情况应对及处理情况，具体材料视专家需要时提供。</w:t>
      </w:r>
    </w:p>
    <w:p>
      <w:pPr>
        <w:pStyle w:val="13"/>
        <w:spacing w:line="439" w:lineRule="exact"/>
        <w:ind w:firstLine="460"/>
        <w:jc w:val="both"/>
        <w:rPr>
          <w:rFonts w:ascii="仿宋" w:hAnsi="仿宋" w:eastAsia="仿宋"/>
          <w:b/>
          <w:bCs/>
          <w:lang w:eastAsia="zh-CN"/>
        </w:rPr>
      </w:pPr>
      <w:r>
        <w:rPr>
          <w:rFonts w:ascii="仿宋" w:hAnsi="仿宋" w:eastAsia="仿宋"/>
          <w:b/>
          <w:bCs/>
          <w:lang w:eastAsia="zh-CN"/>
        </w:rPr>
        <w:t>1.3本科地位</w:t>
      </w:r>
    </w:p>
    <w:p>
      <w:pPr>
        <w:pStyle w:val="13"/>
        <w:spacing w:line="439" w:lineRule="exact"/>
        <w:ind w:firstLine="46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在坚持“以本为本”，把本科教育放在人才培养的核心地位、教育教学的基础地位、新时代教育发展的前沿地位情况；学校在营造党委重视、校长主抓、院长落实的本科教育良好氛围方面所采取的举措及实施成效。②学校是否已落实了“四个回归”？如何体现？学校在引导学生求真学问，引导教师热爱教学、倾心教学、研究教学，潜心教书育人方面所采取的举措及取得的成效。③学校把本科教育教学工作放在优先发展地位的体现，包括经费安排，资源配置，教师引进、职称评聘、绩效考核等方面的机制体制建设。④学校各职能部门落实“以本为本”、做到“八个优先”，围绕教学中心地位开展服务工作情况、年度考核情况；本科教学工作在院系、教师年度考核中所占比重情况。⑤学校可通过必选定量指标达标情况、自选定量指标及常模数据比较情况，阐述学校的优势与成绩、做法与经验。</w:t>
      </w:r>
    </w:p>
    <w:p>
      <w:pPr>
        <w:pStyle w:val="13"/>
        <w:spacing w:line="439" w:lineRule="exact"/>
        <w:ind w:firstLine="46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在落实本科地位方面制订出台的制度文件；党委会专题研究本科教育教学工作的会议记录、各级领导听课记录；学校开展新时代教育思想大讨论的相关材料；学校教师引进、职称评聘、绩效考核等制度文件；近三年学校在教学方面的经费投入情况”院系、教师年度考核情况等，具体材料视专家需要时提供。</w:t>
      </w:r>
    </w:p>
    <w:p>
      <w:pPr>
        <w:pStyle w:val="13"/>
        <w:spacing w:line="439" w:lineRule="exact"/>
        <w:ind w:firstLine="460"/>
        <w:jc w:val="both"/>
        <w:rPr>
          <w:rFonts w:ascii="仿宋" w:hAnsi="仿宋" w:eastAsia="仿宋"/>
          <w:b/>
          <w:bCs/>
          <w:lang w:eastAsia="zh-CN"/>
        </w:rPr>
      </w:pPr>
      <w:r>
        <w:rPr>
          <w:rFonts w:ascii="仿宋" w:hAnsi="仿宋" w:eastAsia="仿宋"/>
          <w:b/>
          <w:bCs/>
          <w:lang w:eastAsia="zh-CN"/>
        </w:rPr>
        <w:t>1.4存在的问题、原因分析及下一步整改举措</w:t>
      </w:r>
    </w:p>
    <w:p>
      <w:pPr>
        <w:pStyle w:val="13"/>
        <w:spacing w:after="240" w:line="439" w:lineRule="exact"/>
        <w:ind w:firstLine="46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对标习近平总书记关于教育的重要论述，新时代国家对高水平一流大学本科人才培养要求，包括《教育部等八部门关于加快构建高校思想政治工作体系的意见》（教思政〔2020〕1号）精神、教育部等七部门《关于加强和改进新时代师德师风建设的意见》精神、《教育部关于推动高校形成就业与招生计划人才培养联动机制的指导意见》（教高〔2017〕8号）精神、教育部《关于深化本科教育教学改革全面提高人才培养质量的意见》（教高〔2019〕6号）精神等，以及通过必选定量指标达标情况、自选定量指标及常模数据比较情况，分析学校在办学方向与落实本科地位方面存在的主要问题是什么？问题表现是什么？产生问题的根源是什么？以及下一步如何改。</w:t>
      </w:r>
    </w:p>
    <w:p>
      <w:pPr>
        <w:pStyle w:val="13"/>
        <w:numPr>
          <w:ilvl w:val="0"/>
          <w:numId w:val="3"/>
        </w:numPr>
        <w:spacing w:after="160" w:line="439" w:lineRule="exact"/>
        <w:ind w:firstLine="440"/>
        <w:jc w:val="both"/>
        <w:rPr>
          <w:rFonts w:ascii="仿宋" w:hAnsi="仿宋" w:eastAsia="仿宋"/>
          <w:b/>
          <w:bCs/>
          <w:lang w:eastAsia="zh-CN"/>
        </w:rPr>
      </w:pPr>
      <w:bookmarkStart w:id="19" w:name="bookmark19"/>
      <w:bookmarkEnd w:id="19"/>
      <w:r>
        <w:rPr>
          <w:rFonts w:ascii="仿宋" w:hAnsi="仿宋" w:eastAsia="仿宋"/>
          <w:b/>
          <w:bCs/>
          <w:lang w:eastAsia="zh-CN"/>
        </w:rPr>
        <w:t>培养过程</w:t>
      </w:r>
    </w:p>
    <w:p>
      <w:pPr>
        <w:pStyle w:val="13"/>
        <w:spacing w:line="438" w:lineRule="exact"/>
        <w:ind w:firstLine="440"/>
        <w:jc w:val="both"/>
        <w:rPr>
          <w:rFonts w:ascii="仿宋" w:hAnsi="仿宋" w:eastAsia="仿宋"/>
          <w:b/>
          <w:bCs/>
          <w:lang w:eastAsia="zh-CN"/>
        </w:rPr>
      </w:pPr>
      <w:r>
        <w:rPr>
          <w:rFonts w:ascii="仿宋" w:hAnsi="仿宋" w:eastAsia="仿宋"/>
          <w:b/>
          <w:bCs/>
          <w:lang w:eastAsia="zh-CN"/>
        </w:rPr>
        <w:t>2.1培养方案</w:t>
      </w:r>
    </w:p>
    <w:p>
      <w:pPr>
        <w:pStyle w:val="13"/>
        <w:spacing w:line="438" w:lineRule="exact"/>
        <w:ind w:firstLine="46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人才培养总目标与学校办学定位、经济社会发展需要间的契合度；人才培养方案中体现德智体美劳全面发展的要求情况。②学校培养方案是否符合普通高等学校本科专业类国家标准（基本标准）要求、是否融入行业标准（特色标准）、是否体现学校定位（个性化标准）；培养方案是否体现了产出导向理念，即根据培养目标制定毕业要求、根据毕业要求构建与之相适应的课程体系。③专业培养方案是否突出了学校人才培养目标特色。学术型人才培养突出强化学生的理论基础，将教学与科研紧密结合，培养学生的创新意识和创新能力；应用型人才培养突出强化实践教学，突出实验实训内容的基础性和应用性，培养学生的知识应用能力和实践动手能力。④学校可通过必选定量指标达标情况、自选定量指标及常模数据比较情况，阐述学校的优势与成绩、做法与经验。</w:t>
      </w:r>
    </w:p>
    <w:p>
      <w:pPr>
        <w:pStyle w:val="13"/>
        <w:spacing w:line="440" w:lineRule="exact"/>
        <w:ind w:firstLine="44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：列出能够证明上述自评结果的相关材料目录索引，如学校学科专业发展规划、学校人才培养方案汇编等，具体材料视专家需要时提供。</w:t>
      </w:r>
    </w:p>
    <w:p>
      <w:pPr>
        <w:pStyle w:val="13"/>
        <w:spacing w:line="440" w:lineRule="exact"/>
        <w:ind w:firstLine="440"/>
        <w:jc w:val="both"/>
        <w:rPr>
          <w:rFonts w:ascii="仿宋" w:hAnsi="仿宋" w:eastAsia="仿宋"/>
          <w:b/>
          <w:bCs/>
          <w:lang w:eastAsia="zh-CN"/>
        </w:rPr>
      </w:pPr>
      <w:r>
        <w:rPr>
          <w:rFonts w:ascii="仿宋" w:hAnsi="仿宋" w:eastAsia="仿宋"/>
          <w:b/>
          <w:bCs/>
          <w:lang w:eastAsia="zh-CN"/>
        </w:rPr>
        <w:t>2.2专业建设</w:t>
      </w:r>
    </w:p>
    <w:p>
      <w:pPr>
        <w:pStyle w:val="13"/>
        <w:spacing w:line="440" w:lineRule="exact"/>
        <w:ind w:firstLine="44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专业设置、专业建设与国家和区域经济社会发展需要的契合情况。对于学术型人才培养，专业设置与专业建设应与国家重大发展战略及社会对创新型人才需求相契合；对于应用型人才培养，专业设置与专业建设要与国家需要、区域经济社会发展及产业发展对应用型人才需求相契合。②学校深化本科专业供给侧改革，建立自主性、灵活性与规范性、稳定性相统一的专业设置管理体系、专业设置标准和专业动态调整机制情况。对于学术型人才培养要阐述如何围绕国家和经济社会发展需求设置专业、建设专业、调整专业；对于应用型人才培养要阐述如何围绕产业链和创新链设置专业、建设专业、调整专业。③学校主辅修、微专业和双学士学位培养制度建设、学生数量等情况；复合型人才培养的成效。④学校可通过必选定量指标达标情况、自选定量指标及常模数据比较情况，阐述学校的优势与成绩、做法与经验。</w:t>
      </w:r>
    </w:p>
    <w:p>
      <w:pPr>
        <w:pStyle w:val="13"/>
        <w:spacing w:line="440" w:lineRule="exact"/>
        <w:ind w:firstLine="44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专业建设规划；学校制订出台的专业建设方面的制度文件；学校专业设置、布局情况统计分析;学校近三年辅修、微专业和双学士学位学生人数，具体材料视专家需要时提供。</w:t>
      </w:r>
    </w:p>
    <w:p>
      <w:pPr>
        <w:pStyle w:val="13"/>
        <w:spacing w:line="440" w:lineRule="exact"/>
        <w:ind w:firstLine="420"/>
        <w:jc w:val="both"/>
        <w:rPr>
          <w:rFonts w:ascii="仿宋" w:hAnsi="仿宋" w:eastAsia="仿宋"/>
          <w:b/>
          <w:bCs/>
          <w:lang w:eastAsia="zh-CN"/>
        </w:rPr>
      </w:pPr>
      <w:r>
        <w:rPr>
          <w:rFonts w:ascii="仿宋" w:hAnsi="仿宋" w:eastAsia="仿宋"/>
          <w:b/>
          <w:bCs/>
          <w:lang w:eastAsia="zh-CN"/>
        </w:rPr>
        <w:t>2.3实践教学</w:t>
      </w:r>
    </w:p>
    <w:p>
      <w:pPr>
        <w:pStyle w:val="13"/>
        <w:spacing w:line="440" w:lineRule="exact"/>
        <w:ind w:firstLine="44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实践教学体系的建设思路与主要内容，推进实践教学改革措施及实施效果。②学校与科研院所或企业、行业单位合作共赢、开放共享的实践育人机制建设，支撑本科人才培养的效果情况。对于学术型人才培养，要阐述学校与科研院所、企业共建科研实践、实习实训基地情况；对于应用型人才培养要阐述与企业、行业单位共建实习实训基地情况。③学校对毕业论文（设计）选题、开题、答辩等环节的全过程管理要求，对形式、内容、难度的严格监控情况及实际完成质量情况。对于学术型人才培养，要阐述毕业论文（设计）选题来自教师专业实践和科研课题情况。对于应用型人才培养，要阐述毕业论文（设计）选题来自行业企业一线需要情况，以及聘请行业企业专家参与毕业论文（设计）指导，实行校企“双导师”制情况。㈤学校可通过必选定量指标达标情况、自选定量指标及常模数据比较情况，阐述学校的优势与成绩、做法与经验。</w:t>
      </w:r>
    </w:p>
    <w:p>
      <w:pPr>
        <w:pStyle w:val="13"/>
        <w:spacing w:line="438" w:lineRule="exact"/>
        <w:ind w:firstLine="44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制订的实践教学方面的制度文件；学校设计性、综合性实验开设与实验室开放情况统计；近两年毕业论文（设计）选题一览表，包括选题来源情况统计分析等，具体材料视专家需要时提供。</w:t>
      </w:r>
    </w:p>
    <w:p>
      <w:pPr>
        <w:pStyle w:val="13"/>
        <w:spacing w:line="438" w:lineRule="exact"/>
        <w:ind w:firstLine="440"/>
        <w:jc w:val="both"/>
        <w:rPr>
          <w:rFonts w:ascii="仿宋" w:hAnsi="仿宋" w:eastAsia="仿宋"/>
          <w:b/>
          <w:bCs/>
          <w:lang w:eastAsia="zh-CN"/>
        </w:rPr>
      </w:pPr>
      <w:r>
        <w:rPr>
          <w:rFonts w:ascii="仿宋" w:hAnsi="仿宋" w:eastAsia="仿宋"/>
          <w:b/>
          <w:bCs/>
          <w:lang w:eastAsia="zh-CN"/>
        </w:rPr>
        <w:t>2.4课堂教学</w:t>
      </w:r>
    </w:p>
    <w:p>
      <w:pPr>
        <w:pStyle w:val="13"/>
        <w:spacing w:line="438" w:lineRule="exact"/>
        <w:ind w:firstLine="44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推动课程教学从“以教为中心”向“以学为中心”的转变，促进教与学、教学与科研的紧密结合情况；以学生学习成果为导向，推进教学内容及考试评价方法改革情况。②学校推动互联网、大数据、人工智能、虚拟现实等现代技术在教学和管理中的应用，推动“互联网+高等教育”新形态信息技术与教学过程融合，以及加强信息化教学环境与资源建设情况。③学校建立健全教材管理机构和工作制度，依照教材审核选用标准和程序选用教材情况；推进马工程重点教材统一使用情况；以及在教材选用工作出现负面问题的处理情况。④学校可通过必选定量指标达标情况、自选定量指标及常模数据比较情况，阐述学校的优势与成绩、做法与经验。</w:t>
      </w:r>
    </w:p>
    <w:p>
      <w:pPr>
        <w:pStyle w:val="13"/>
        <w:spacing w:line="438" w:lineRule="exact"/>
        <w:ind w:firstLine="44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在课堂教学改革方面出台的制度文件或实施方案；教材审核选用标准和选用程序的制度规定；学校开展课堂教学质量评价方面的支撑材料等,具体材料视专家需要时提供。</w:t>
      </w:r>
    </w:p>
    <w:p>
      <w:pPr>
        <w:pStyle w:val="13"/>
        <w:spacing w:line="438" w:lineRule="exact"/>
        <w:ind w:firstLine="440"/>
        <w:jc w:val="both"/>
        <w:rPr>
          <w:rFonts w:ascii="仿宋" w:hAnsi="仿宋" w:eastAsia="仿宋"/>
          <w:b/>
          <w:bCs/>
          <w:lang w:eastAsia="zh-CN"/>
        </w:rPr>
      </w:pPr>
      <w:r>
        <w:rPr>
          <w:rFonts w:ascii="仿宋" w:hAnsi="仿宋" w:eastAsia="仿宋"/>
          <w:b/>
          <w:bCs/>
          <w:lang w:eastAsia="zh-CN"/>
        </w:rPr>
        <w:t>K2.5卓越培养（学校自选项）</w:t>
      </w:r>
    </w:p>
    <w:p>
      <w:pPr>
        <w:pStyle w:val="13"/>
        <w:spacing w:line="438" w:lineRule="exact"/>
        <w:ind w:firstLine="44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在本科人才培养模式改革方面所开展的工作及其取得的成效。对于学术型人才培养，要阐述如何推进科教协同拔尖人才培养模式改革与实践；对于应用型人才培养，要阐述如何推进产教融合卓越人才培养模式改革与实践。②学校课程体系整体设计的思路；公共课、专业基础课、专业课等各类课程结构的优化情况，以及课程建设规划情况。③学校在新工科、新农科、新医科、新文科建设以及围绕“培育高水平教学成果“开展教研教改项目建设的举措及实施成效。④学校推动一流专业建设的举措及取得的成效。⑤学校推动一流课程建设的举措及取得的成效。⑥学校推动出台的优秀教材建设举措及实施成效。⑦学校可通过必选定量指标达标情况、自选定量指标及常模数据比较情况，阐述学校的优势与成绩、做法与经验。</w:t>
      </w:r>
    </w:p>
    <w:p>
      <w:pPr>
        <w:pStyle w:val="13"/>
        <w:spacing w:line="438" w:lineRule="exact"/>
        <w:ind w:firstLine="44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专业建设、课程建设方面的建设规划和制度文件；新工科、新农科、新医科、新文科建设方案；一流专业建设、一流课程建设规划与建设方案；优秀教材建设规划；推动改革出台的相关政策等，具体材料视专家需要时提供。</w:t>
      </w:r>
    </w:p>
    <w:p>
      <w:pPr>
        <w:pStyle w:val="13"/>
        <w:spacing w:line="438" w:lineRule="exact"/>
        <w:ind w:firstLine="440"/>
        <w:jc w:val="both"/>
        <w:rPr>
          <w:rFonts w:ascii="仿宋" w:hAnsi="仿宋" w:eastAsia="仿宋"/>
          <w:b/>
          <w:bCs/>
          <w:lang w:eastAsia="zh-CN"/>
        </w:rPr>
      </w:pPr>
      <w:r>
        <w:rPr>
          <w:rFonts w:ascii="仿宋" w:hAnsi="仿宋" w:eastAsia="仿宋"/>
          <w:b/>
          <w:bCs/>
          <w:lang w:eastAsia="zh-CN"/>
        </w:rPr>
        <w:t>2.6创新创业教育</w:t>
      </w:r>
    </w:p>
    <w:p>
      <w:pPr>
        <w:pStyle w:val="13"/>
        <w:spacing w:line="438" w:lineRule="exact"/>
        <w:ind w:firstLine="44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构建创新创业教育工作体系情况，以及是否有效运行；创新创业教育平台建设情况，包括科研基地向大学生开放情况、大学生创新创业与社会需求对接平台等。②学校将创新创业教育融于人才培养方案，面向全体学生所开展的因材施教、强化创新实践情况、推动举措与实施成效。③学校创新创业的氛围情况；学生参与创新创业教育的积极性以及取得的成果。④学校可通过必选定量指标达标情况、自选定量指标及常模数据比较情况，阐述学校的优势与成绩、做法与经验。</w:t>
      </w:r>
    </w:p>
    <w:p>
      <w:pPr>
        <w:pStyle w:val="13"/>
        <w:spacing w:line="438" w:lineRule="exact"/>
        <w:ind w:firstLine="44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在创新创业教育方面制订出台的制度文件；学校高水平教师指导本科生开展创新创业训练的有关材料；国家级大学生创新创业训练计划项目、“互联网+”大学生创新创业大赛获奖项目、本科生参加国内外大赛的获奖项氐本科生发表的论文及获批国家发明专利等统计表；本科生创业典型材料等，具体材料视专家需要时提供。</w:t>
      </w:r>
    </w:p>
    <w:p>
      <w:pPr>
        <w:pStyle w:val="13"/>
        <w:spacing w:line="438" w:lineRule="exact"/>
        <w:ind w:firstLine="440"/>
        <w:jc w:val="both"/>
        <w:rPr>
          <w:rFonts w:ascii="仿宋" w:hAnsi="仿宋" w:eastAsia="仿宋"/>
          <w:b/>
          <w:bCs/>
          <w:lang w:eastAsia="zh-CN"/>
        </w:rPr>
      </w:pPr>
      <w:r>
        <w:rPr>
          <w:rFonts w:ascii="仿宋" w:hAnsi="仿宋" w:eastAsia="仿宋"/>
          <w:b/>
          <w:bCs/>
          <w:lang w:eastAsia="zh-CN"/>
        </w:rPr>
        <w:t>2.7存在的问题、原因分析及下一步整改举措</w:t>
      </w:r>
    </w:p>
    <w:p>
      <w:pPr>
        <w:pStyle w:val="13"/>
        <w:spacing w:after="280" w:line="438" w:lineRule="exact"/>
        <w:ind w:firstLine="44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对照国家对人才培养的各项要求，以及通过必选定量指标达标情况、自选定量指标及常模数据比较情况，分析学校在人才培养过程中存在的主要问题是什么？问题表现是什么？产生问题的根源是什么？以及下一步如何改进。</w:t>
      </w:r>
    </w:p>
    <w:p>
      <w:pPr>
        <w:pStyle w:val="13"/>
        <w:numPr>
          <w:ilvl w:val="0"/>
          <w:numId w:val="3"/>
        </w:numPr>
        <w:spacing w:after="140" w:line="438" w:lineRule="exact"/>
        <w:ind w:firstLine="440"/>
        <w:jc w:val="both"/>
        <w:rPr>
          <w:rFonts w:ascii="仿宋" w:hAnsi="仿宋" w:eastAsia="仿宋"/>
          <w:b/>
          <w:bCs/>
          <w:lang w:eastAsia="zh-CN"/>
        </w:rPr>
      </w:pPr>
      <w:bookmarkStart w:id="20" w:name="bookmark20"/>
      <w:bookmarkEnd w:id="20"/>
      <w:r>
        <w:rPr>
          <w:rFonts w:ascii="仿宋" w:hAnsi="仿宋" w:eastAsia="仿宋"/>
          <w:b/>
          <w:bCs/>
          <w:lang w:eastAsia="zh-CN"/>
        </w:rPr>
        <w:t>教学资源与利用</w:t>
      </w:r>
    </w:p>
    <w:p>
      <w:pPr>
        <w:pStyle w:val="13"/>
        <w:spacing w:line="437" w:lineRule="exact"/>
        <w:ind w:firstLine="440"/>
        <w:jc w:val="both"/>
        <w:rPr>
          <w:rFonts w:ascii="仿宋" w:hAnsi="仿宋" w:eastAsia="仿宋"/>
          <w:lang w:eastAsia="zh-CN"/>
        </w:rPr>
      </w:pPr>
      <w:r>
        <w:rPr>
          <w:rFonts w:ascii="仿宋" w:hAnsi="仿宋" w:eastAsia="仿宋"/>
          <w:b/>
          <w:bCs/>
          <w:lang w:eastAsia="zh-CN"/>
        </w:rPr>
        <w:t>X3.1设施条件</w:t>
      </w:r>
      <w:r>
        <w:rPr>
          <w:rFonts w:ascii="仿宋" w:hAnsi="仿宋" w:eastAsia="仿宋"/>
          <w:lang w:eastAsia="zh-CN"/>
        </w:rPr>
        <w:t>（首次参加审核评估高校必选项）</w:t>
      </w:r>
    </w:p>
    <w:p>
      <w:pPr>
        <w:pStyle w:val="13"/>
        <w:spacing w:line="437" w:lineRule="exact"/>
        <w:ind w:firstLine="44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近三年日常教学经费投入与使用情况，是否得到优先保障；图书资料、校园网等满足教学需要情况。②学校的各类教学设施（校舍、运动场所、体育设施、艺术场馆、实验室、实习基地及课堂教学设施、辅助教学设施、图书馆、大学生活动中心、创新创业基地等公共教学设施）优化配置、满足教学需求及有效利用情况。</w:t>
      </w:r>
    </w:p>
    <w:p>
      <w:pPr>
        <w:pStyle w:val="13"/>
        <w:spacing w:line="437" w:lineRule="exact"/>
        <w:ind w:firstLine="44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：列出能够证明上述自评结果的相关材料目录索引，如学校教学条件、设施等资源配置与利用方面的材料，具体材料视专家需要时提供。</w:t>
      </w:r>
    </w:p>
    <w:p>
      <w:pPr>
        <w:pStyle w:val="13"/>
        <w:spacing w:line="439" w:lineRule="exact"/>
        <w:ind w:firstLine="440"/>
        <w:jc w:val="both"/>
        <w:rPr>
          <w:rFonts w:ascii="仿宋" w:hAnsi="仿宋" w:eastAsia="仿宋"/>
          <w:b/>
          <w:bCs/>
          <w:lang w:eastAsia="zh-CN"/>
        </w:rPr>
      </w:pPr>
      <w:r>
        <w:rPr>
          <w:rFonts w:ascii="仿宋" w:hAnsi="仿宋" w:eastAsia="仿宋"/>
          <w:b/>
          <w:bCs/>
          <w:lang w:eastAsia="zh-CN"/>
        </w:rPr>
        <w:t>3.2资源建设</w:t>
      </w:r>
    </w:p>
    <w:p>
      <w:pPr>
        <w:pStyle w:val="13"/>
        <w:spacing w:line="439" w:lineRule="exact"/>
        <w:ind w:firstLine="460"/>
        <w:jc w:val="both"/>
        <w:rPr>
          <w:rFonts w:ascii="仿宋" w:hAnsi="仿宋" w:eastAsia="仿宋"/>
          <w:lang w:eastAsia="zh-CN"/>
        </w:rPr>
      </w:pPr>
      <w:r>
        <w:rPr>
          <w:rFonts w:ascii="仿宋" w:hAnsi="仿宋" w:eastAsia="仿宋"/>
          <w:lang w:eastAsia="zh-CN"/>
        </w:rPr>
        <w:t>重点阐述：①对于学术型人才培养，学校要阐述推动优质课程资源开发建设和开放共享情况，包括教材、课程资源库、案例库以及网络资源、学科与科研资源等辅助教学资源建设等。对于应用型人才培养，要阐述结合行业企业实际，健全资源共享机制，建设课程资源库、真实项目案例库，推动将行业企业优质资源转化为教育教学内容情况。②学校教材建设情况。对于学术型人才培养，要阐述如何鼓励和支持高水平教师面向国家、行业领域需求，编写高水平教材；对于应用型人才培养，要阐述如何组织教师面向行业企业实际，结合产业发展需要编写教材，增强教材的针对性和实效性。③学校促进学生个性化学习、开放式学习和泛在学习，借助物联网技术、云计算技术和智能技术，建设适应“互联网+”课程教学需要的智慧教室、智能实验室建设情况及其使用效果。④学校采取有效措施，积极开拓和有效利用各类教学资源情况。对于学术型人才培养，要阐述促进学科资源转化为教育教学资源情况，包括将最新科研成果融入教学内容，转化为实验项目；对于应用型人才培养，要阐述将产业技术发展成果转化为教学资源，将产学研合作项目转化为实验项目或毕业论文（设计）选题的情况。</w:t>
      </w:r>
    </w:p>
    <w:p>
      <w:pPr>
        <w:pStyle w:val="13"/>
        <w:spacing w:line="439" w:lineRule="exact"/>
        <w:ind w:firstLine="46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教学资源建设与利用方面制订的制度文件、科研反哺教学方面的激励政策；学校“互联网+”教学资源建设、高水平教材建设、智慧教室建设、智能实验室建设及学科资源、科研成果转化方面的总结材料，具体材料视专家需要时提供。</w:t>
      </w:r>
    </w:p>
    <w:p>
      <w:pPr>
        <w:pStyle w:val="13"/>
        <w:spacing w:line="439" w:lineRule="exact"/>
        <w:ind w:firstLine="460"/>
        <w:jc w:val="both"/>
        <w:rPr>
          <w:rFonts w:ascii="仿宋" w:hAnsi="仿宋" w:eastAsia="仿宋"/>
          <w:b/>
          <w:bCs/>
          <w:lang w:eastAsia="zh-CN"/>
        </w:rPr>
      </w:pPr>
      <w:r>
        <w:rPr>
          <w:rFonts w:ascii="仿宋" w:hAnsi="仿宋" w:eastAsia="仿宋"/>
          <w:b/>
          <w:bCs/>
          <w:lang w:eastAsia="zh-CN"/>
        </w:rPr>
        <w:t>3.3存在的问题、原因分析及下一步整改举措</w:t>
      </w:r>
    </w:p>
    <w:p>
      <w:pPr>
        <w:pStyle w:val="13"/>
        <w:spacing w:after="260" w:line="439" w:lineRule="exact"/>
        <w:ind w:firstLine="46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：学校在教学资源条件、资源建设与利用方面存在的主要问题是什么，问题表现是什么？产生问题的根源是什么？以及下一步如何改进。</w:t>
      </w:r>
    </w:p>
    <w:p>
      <w:pPr>
        <w:pStyle w:val="13"/>
        <w:numPr>
          <w:ilvl w:val="0"/>
          <w:numId w:val="3"/>
        </w:numPr>
        <w:spacing w:after="140" w:line="439" w:lineRule="exact"/>
        <w:ind w:firstLine="460"/>
        <w:jc w:val="both"/>
        <w:rPr>
          <w:rFonts w:ascii="仿宋" w:hAnsi="仿宋" w:eastAsia="仿宋"/>
          <w:b/>
          <w:bCs/>
          <w:lang w:eastAsia="zh-CN"/>
        </w:rPr>
      </w:pPr>
      <w:bookmarkStart w:id="21" w:name="bookmark21"/>
      <w:bookmarkEnd w:id="21"/>
      <w:r>
        <w:rPr>
          <w:rFonts w:ascii="仿宋" w:hAnsi="仿宋" w:eastAsia="仿宋"/>
          <w:b/>
          <w:bCs/>
          <w:lang w:eastAsia="zh-CN"/>
        </w:rPr>
        <w:t>教师队伍</w:t>
      </w:r>
    </w:p>
    <w:p>
      <w:pPr>
        <w:pStyle w:val="13"/>
        <w:spacing w:line="438" w:lineRule="exact"/>
        <w:ind w:firstLine="460"/>
        <w:jc w:val="both"/>
        <w:rPr>
          <w:rFonts w:ascii="仿宋" w:hAnsi="仿宋" w:eastAsia="仿宋"/>
          <w:b/>
          <w:bCs/>
          <w:lang w:eastAsia="zh-CN"/>
        </w:rPr>
      </w:pPr>
      <w:r>
        <w:rPr>
          <w:rFonts w:ascii="仿宋" w:hAnsi="仿宋" w:eastAsia="仿宋"/>
          <w:b/>
          <w:bCs/>
          <w:lang w:eastAsia="zh-CN"/>
        </w:rPr>
        <w:t>4.1师德师风</w:t>
      </w:r>
    </w:p>
    <w:p>
      <w:pPr>
        <w:pStyle w:val="13"/>
        <w:spacing w:after="80" w:line="438" w:lineRule="exact"/>
        <w:ind w:firstLine="46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教师评价标准的建设情况；师德师风要求体现在学校政策文件中的情况，特别是把师德师风作为评价教师第一标准的情况；学校将师德考核标准贯穿于教育教学全过程的措施与成效。②学校促进教师争做“四有”好老师、四个“引路人”,自觉遵守《新时代高校教师职业行为十项准则》等方面的制度、举措与成效。</w:t>
      </w:r>
    </w:p>
    <w:p>
      <w:pPr>
        <w:pStyle w:val="13"/>
        <w:spacing w:line="439" w:lineRule="exact"/>
        <w:ind w:firstLine="44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：列出能够证明上述自评结果的相关材料目录索引，如学校师德师风建设制度文件汇编；学校师德师风先进典型案例；学校加强师德师风建设宣传材料，具体材料视专家需要时提供。</w:t>
      </w:r>
    </w:p>
    <w:p>
      <w:pPr>
        <w:pStyle w:val="13"/>
        <w:spacing w:line="439" w:lineRule="exact"/>
        <w:ind w:firstLine="440"/>
        <w:jc w:val="both"/>
        <w:rPr>
          <w:rFonts w:ascii="仿宋" w:hAnsi="仿宋" w:eastAsia="仿宋"/>
          <w:b/>
          <w:bCs/>
          <w:lang w:eastAsia="zh-CN"/>
        </w:rPr>
      </w:pPr>
      <w:r>
        <w:rPr>
          <w:rFonts w:ascii="仿宋" w:hAnsi="仿宋" w:eastAsia="仿宋"/>
          <w:b/>
          <w:bCs/>
          <w:lang w:eastAsia="zh-CN"/>
        </w:rPr>
        <w:t>4.2教学能力</w:t>
      </w:r>
    </w:p>
    <w:p>
      <w:pPr>
        <w:pStyle w:val="13"/>
        <w:spacing w:line="439" w:lineRule="exact"/>
        <w:ind w:firstLine="44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专任教师队伍的专业水平和教学能力，说明能否很好地胜任教育教学工作。对于学术型人才培养，还要阐述教师的科研能力和水平，以及满足学生创新意识和创新能力培养需要的情况；对于应用型人才培养，还要阐述教师的产学研用能力和水平，以及满足学生实践动手能力培养需要的情况。②学校提升教师教书育人能力和水平的举措及成效，包括教师培训，建立基层教学组织，开展教育教学研究活动等。</w:t>
      </w:r>
    </w:p>
    <w:p>
      <w:pPr>
        <w:pStyle w:val="13"/>
        <w:spacing w:line="439" w:lineRule="exact"/>
        <w:ind w:firstLine="44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：列出能够证明上述自评结果的相关材料目录索引，如学校制订的提升教师教学能力方面的制度文件，学校开展各类教师教育教学培训、教学竞赛活动及提升教师教学能力的措施等，具体材料视专家需要时提供。</w:t>
      </w:r>
    </w:p>
    <w:p>
      <w:pPr>
        <w:pStyle w:val="13"/>
        <w:spacing w:line="439" w:lineRule="exact"/>
        <w:ind w:firstLine="440"/>
        <w:jc w:val="both"/>
        <w:rPr>
          <w:rFonts w:ascii="仿宋" w:hAnsi="仿宋" w:eastAsia="仿宋"/>
          <w:b/>
          <w:bCs/>
          <w:lang w:eastAsia="zh-CN"/>
        </w:rPr>
      </w:pPr>
      <w:r>
        <w:rPr>
          <w:rFonts w:ascii="仿宋" w:hAnsi="仿宋" w:eastAsia="仿宋"/>
          <w:b/>
          <w:bCs/>
          <w:lang w:eastAsia="zh-CN"/>
        </w:rPr>
        <w:t>4.3教学投入</w:t>
      </w:r>
    </w:p>
    <w:p>
      <w:pPr>
        <w:pStyle w:val="13"/>
        <w:spacing w:line="439" w:lineRule="exact"/>
        <w:ind w:firstLine="44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在推动高水平教师投入本科教育教学、推动教授给本科生上课方面所采取的激励与约束机制；学校制定的激励与约束机制实施效果。②广大教师，特别是教授、副教授开展教学研究、参与教学改革与建设，包括教学改革、专业建设、课程建设和教材建设等实际情况。③学校可通过必选定量指标达标情况、自选定量指标及常模数据比较情况，阐述学校的优势与成绩、做法与经验。</w:t>
      </w:r>
    </w:p>
    <w:p>
      <w:pPr>
        <w:pStyle w:val="13"/>
        <w:spacing w:line="439" w:lineRule="exact"/>
        <w:ind w:firstLine="44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：列出能够证明上述自评结果的相关材料目录索引，如学校出台的鼓励教师投入教学的制度文件，学校教师近三年开展教学研究、教学改革方面的统计材料、原始申报材料等，具体材料视专家需要时提供。</w:t>
      </w:r>
    </w:p>
    <w:p>
      <w:pPr>
        <w:pStyle w:val="13"/>
        <w:spacing w:line="439" w:lineRule="exact"/>
        <w:ind w:firstLine="440"/>
        <w:jc w:val="both"/>
        <w:rPr>
          <w:rFonts w:ascii="仿宋" w:hAnsi="仿宋" w:eastAsia="仿宋"/>
          <w:b/>
          <w:bCs/>
          <w:lang w:eastAsia="zh-CN"/>
        </w:rPr>
      </w:pPr>
      <w:r>
        <w:rPr>
          <w:rFonts w:ascii="仿宋" w:hAnsi="仿宋" w:eastAsia="仿宋"/>
          <w:b/>
          <w:bCs/>
          <w:lang w:eastAsia="zh-CN"/>
        </w:rPr>
        <w:t>4.4教师发展</w:t>
      </w:r>
    </w:p>
    <w:p>
      <w:pPr>
        <w:pStyle w:val="13"/>
        <w:spacing w:line="439" w:lineRule="exact"/>
        <w:ind w:firstLine="44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制定教师培训与职业发展规划、培训工作计划及执行情况；学校是否按要求把习近平总书记关于教育的重要论述作为核心培训课程、把《习近平总书记教育重要论述讲义》作为核心培训教材，广大教师是否学深悟透，并能自觉运用；学校重视并加强思政与党务工作队伍建设所采取的举措与成效。②学校重视教师教学发展与培训，在加强教师教学发展中心、基层教学组织（或教学团队）和青年教师队伍建设等方面的措施与成效。③学校在提升教师教学能力、信息技术应用能力方面制定的政策、实施的措施及取得的成效。对于学术型人才培养，要阐述如何培养教师的科研能力和实践能力；对于应用型人才培养，要阐述如何培养教师的产学研用能力。④学校教师分类管理和分类评价办法，分类分层次分学科设置的评价内容和评价方式。对于应用型人才培养，还要阐述双师双能型教师队伍和实践教学队伍建设与管理。⑤学校鼓励教师赴国（境）外交流、访学、参加国际会议、合作研究的政策、实施情况和效果。⑥学校可通过必选定量指标达标情况、自选定量指标及常模数据比较情况，阐述学校的优势与成绩、做法与经验。</w:t>
      </w:r>
    </w:p>
    <w:p>
      <w:pPr>
        <w:pStyle w:val="13"/>
        <w:spacing w:line="439" w:lineRule="exact"/>
        <w:ind w:firstLine="46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制订出台的加强师资队伍建设制度文件；学校教师队伍建设及发展规划；学校教师教学发展中心、基层教学组织设置情况；学校近三年教师赴国（境）外交流、访学、参加国际会</w:t>
      </w:r>
      <w:r>
        <w:rPr>
          <w:rFonts w:ascii="仿宋" w:hAnsi="仿宋" w:eastAsia="仿宋"/>
          <w:i/>
          <w:iCs/>
          <w:lang w:eastAsia="zh-CN"/>
        </w:rPr>
        <w:t>议、</w:t>
      </w:r>
      <w:r>
        <w:rPr>
          <w:rFonts w:ascii="仿宋" w:hAnsi="仿宋" w:eastAsia="仿宋"/>
          <w:lang w:eastAsia="zh-CN"/>
        </w:rPr>
        <w:t>合作研究情况等材料，具体材料视专家需要时提供。</w:t>
      </w:r>
    </w:p>
    <w:p>
      <w:pPr>
        <w:pStyle w:val="13"/>
        <w:spacing w:line="439" w:lineRule="exact"/>
        <w:ind w:firstLine="460"/>
        <w:jc w:val="both"/>
        <w:rPr>
          <w:rFonts w:ascii="仿宋" w:hAnsi="仿宋" w:eastAsia="仿宋"/>
          <w:b/>
          <w:bCs/>
          <w:lang w:eastAsia="zh-CN"/>
        </w:rPr>
      </w:pPr>
      <w:r>
        <w:rPr>
          <w:rFonts w:ascii="仿宋" w:hAnsi="仿宋" w:eastAsia="仿宋"/>
          <w:b/>
          <w:bCs/>
          <w:lang w:eastAsia="zh-CN"/>
        </w:rPr>
        <w:t>4.5存在的问题、原因分析及下一步整改举措</w:t>
      </w:r>
    </w:p>
    <w:p>
      <w:pPr>
        <w:pStyle w:val="13"/>
        <w:spacing w:after="260" w:line="439" w:lineRule="exact"/>
        <w:ind w:firstLine="46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认真对照国家对教师的要求，特别是中共中央、国务院《深化新时代教育评价改革总体方案》、教育部等七部门《关于加强和改进新时代师德师风建设的意见》（教师〔2019]10号）精神，以及通过必选定量指标达标情况、自选定量指标及常模数据比较情况，分析学校在教师队伍建设方面存在的主要问题是什么？问题表现是什么？产生问题的根源是什么？以及下一步如何改进。</w:t>
      </w:r>
    </w:p>
    <w:p>
      <w:pPr>
        <w:pStyle w:val="13"/>
        <w:numPr>
          <w:ilvl w:val="0"/>
          <w:numId w:val="3"/>
        </w:numPr>
        <w:spacing w:after="140" w:line="439" w:lineRule="exact"/>
        <w:ind w:firstLine="460"/>
        <w:jc w:val="both"/>
        <w:rPr>
          <w:rFonts w:ascii="仿宋" w:hAnsi="仿宋" w:eastAsia="仿宋"/>
          <w:b/>
          <w:bCs/>
          <w:lang w:eastAsia="zh-CN"/>
        </w:rPr>
      </w:pPr>
      <w:bookmarkStart w:id="22" w:name="bookmark22"/>
      <w:bookmarkEnd w:id="22"/>
      <w:r>
        <w:rPr>
          <w:rFonts w:ascii="仿宋" w:hAnsi="仿宋" w:eastAsia="仿宋"/>
          <w:b/>
          <w:bCs/>
          <w:lang w:eastAsia="zh-CN"/>
        </w:rPr>
        <w:t>学生发展</w:t>
      </w:r>
    </w:p>
    <w:p>
      <w:pPr>
        <w:pStyle w:val="13"/>
        <w:spacing w:line="439" w:lineRule="exact"/>
        <w:ind w:firstLine="460"/>
        <w:jc w:val="both"/>
        <w:rPr>
          <w:rFonts w:ascii="仿宋" w:hAnsi="仿宋" w:eastAsia="仿宋"/>
          <w:b/>
          <w:bCs/>
          <w:lang w:eastAsia="zh-CN"/>
        </w:rPr>
      </w:pPr>
      <w:r>
        <w:rPr>
          <w:rFonts w:ascii="仿宋" w:hAnsi="仿宋" w:eastAsia="仿宋"/>
          <w:b/>
          <w:bCs/>
          <w:lang w:eastAsia="zh-CN"/>
        </w:rPr>
        <w:t>5.1理想信念</w:t>
      </w:r>
    </w:p>
    <w:p>
      <w:pPr>
        <w:pStyle w:val="13"/>
        <w:spacing w:line="431" w:lineRule="exact"/>
        <w:ind w:firstLine="46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在加强学生理想信念和提高品德修养方面的举措及成效；广大学生的理想信念、道德品质和行为习惯情况。②学校深入学习贯彻习近平总书记在北京大学师生座谈会上的重要讲话精神，教育引导学生为国家发展，为追求真理而勤奋学习、奋发图强情况；学校加强学风建设的举措及成效。</w:t>
      </w:r>
    </w:p>
    <w:p>
      <w:pPr>
        <w:pStyle w:val="13"/>
        <w:spacing w:line="431" w:lineRule="exact"/>
        <w:ind w:firstLine="46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：列出能够证明上述自评结果的相关材料目录索引，如学校制订的加强学风建设的制度文件；所开展的教育引导学生爱国、励志、求真、力行等活动的有关材料等，具体材料视专家需要时提供。</w:t>
      </w:r>
    </w:p>
    <w:p>
      <w:pPr>
        <w:pStyle w:val="13"/>
        <w:spacing w:line="439" w:lineRule="exact"/>
        <w:ind w:firstLine="460"/>
        <w:jc w:val="both"/>
        <w:rPr>
          <w:rFonts w:ascii="仿宋" w:hAnsi="仿宋" w:eastAsia="仿宋"/>
          <w:b/>
          <w:bCs/>
          <w:lang w:eastAsia="zh-CN"/>
        </w:rPr>
      </w:pPr>
      <w:r>
        <w:rPr>
          <w:rFonts w:ascii="仿宋" w:hAnsi="仿宋" w:eastAsia="仿宋"/>
          <w:b/>
          <w:bCs/>
          <w:lang w:eastAsia="zh-CN"/>
        </w:rPr>
        <w:t>5.2学业成绩及综合素质</w:t>
      </w:r>
    </w:p>
    <w:p>
      <w:pPr>
        <w:pStyle w:val="13"/>
        <w:spacing w:line="432" w:lineRule="exact"/>
        <w:ind w:firstLine="46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如何重视学生的理论知识学习和综合能力培养，以及学生的学业成绩及综合素质表现情况。对于学术型人才培养，要阐述学生的基础理论、知识面和创新能力情况；对于应用型人才培养，要阐述学生综合应用知识能力、实践动手能力和独立解决生产、管理和服务中实际问题的能力情况。②学校贯彻落实中共中央、国务院关于加强新时代体育、美育、劳动教育有关政策文件精神，推进体育、美育、劳动教育教学改革的措施及成效。③学校为培养学生综合素质所开展的社团活动、校园环境和校园文化建设、社会实践、志愿服务活动等情况以及取得的效果。④学校可通过必选定量指标达标情况、自选定量指标及常模数据比较情况，阐述学校的优势与成绩、做法与经验。</w:t>
      </w:r>
    </w:p>
    <w:p>
      <w:pPr>
        <w:pStyle w:val="13"/>
        <w:spacing w:line="438" w:lineRule="exact"/>
        <w:ind w:firstLine="44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加强学生综合素质培养方面的有关文件；学生发表的论文、获批的专利情况统计表；学生参加社团活动、校园文化、社会实践、志愿服务等活动资料，具体材料视专家需要时提供。</w:t>
      </w:r>
    </w:p>
    <w:p>
      <w:pPr>
        <w:pStyle w:val="13"/>
        <w:spacing w:line="438" w:lineRule="exact"/>
        <w:ind w:firstLine="440"/>
        <w:jc w:val="both"/>
        <w:rPr>
          <w:rFonts w:ascii="仿宋" w:hAnsi="仿宋" w:eastAsia="仿宋"/>
          <w:b/>
          <w:bCs/>
          <w:lang w:eastAsia="zh-CN"/>
        </w:rPr>
      </w:pPr>
      <w:r>
        <w:rPr>
          <w:rFonts w:ascii="仿宋" w:hAnsi="仿宋" w:eastAsia="仿宋"/>
          <w:b/>
          <w:bCs/>
          <w:lang w:eastAsia="zh-CN"/>
        </w:rPr>
        <w:t>K5.3国际视野（学校自选项）</w:t>
      </w:r>
    </w:p>
    <w:p>
      <w:pPr>
        <w:pStyle w:val="13"/>
        <w:spacing w:line="438" w:lineRule="exact"/>
        <w:ind w:firstLine="44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主动服务国家对外开放战略，积极融入“一带一路”建设，推动国际交流与合作，与国（境）外高水平大学开展联合办学、联合培养等具体做法、采取的举措与取得的成效；学校吸引外国留学生来华学习的举措及来华留学生教育质量情况。②学校将国际先进教育理念贯彻落实到人才培养过程中的情况；吸收利用国（境）外优质教育资源（教材、网络课程、专业设计软件等）以及输出共享情况。③学校鼓励学生赴国（境）外高校交流、访学，实习、竞赛、参加国际会议、开展合作研究的激励政策及提供的国（境）外跨校和跨文化学习交流的机会，以及实施的实际效果。④学校可通过必选定量指标达标情况、自选定量指标及常模数据比较情况，阐述学校的优势与成绩、做法与经验。</w:t>
      </w:r>
    </w:p>
    <w:p>
      <w:pPr>
        <w:pStyle w:val="13"/>
        <w:spacing w:line="438" w:lineRule="exact"/>
        <w:ind w:firstLine="44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列出能够证明上述自评结果的相关材料目录索引，如学校国际化发展战略规划或相关文件；学校激励教师、本科生开展国际合作交流方面的政策与措施等材料，具体材料视专家需要时提供。</w:t>
      </w:r>
    </w:p>
    <w:p>
      <w:pPr>
        <w:pStyle w:val="13"/>
        <w:spacing w:line="438" w:lineRule="exact"/>
        <w:ind w:firstLine="440"/>
        <w:jc w:val="both"/>
        <w:rPr>
          <w:rFonts w:ascii="仿宋" w:hAnsi="仿宋" w:eastAsia="仿宋"/>
          <w:b/>
          <w:bCs/>
          <w:lang w:eastAsia="zh-CN"/>
        </w:rPr>
      </w:pPr>
      <w:r>
        <w:rPr>
          <w:rFonts w:ascii="仿宋" w:hAnsi="仿宋" w:eastAsia="仿宋"/>
          <w:b/>
          <w:bCs/>
          <w:lang w:eastAsia="zh-CN"/>
        </w:rPr>
        <w:t>5.4支持服务</w:t>
      </w:r>
    </w:p>
    <w:p>
      <w:pPr>
        <w:pStyle w:val="13"/>
        <w:spacing w:line="438" w:lineRule="exact"/>
        <w:ind w:firstLine="44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贯彻落实《中共教育部党组关于加强和改进高校领导干部深入基层联系学生工作的通知》（教党函〔2019〕34号）要求，推动领导干部和教师参与学生工作的举措及效果，包括参与面、参与程度和参与效果。②学校的学生指导服务体系及场地设施建设情况，包括配备专门教师和校医，提供必要的场地、设备和条件等；学业指导、职业生涯规划指导、就业指导和大学生心理健康咨询的开展情况；对家庭经济困难学生的资助情况等。③学校推进学分制改革和弹性学习的具体措施和相适应的管理制度；开展辅修专业、双学士学位专业学习情况及其学生受益面等。④可选择阐述学校探索学生成长增值评价，不仅关注学生学习过程的最后产出，更看重学习过程所带来的增长情况；学校注重学生学习体验，培养学生自我发展能力和职业发展能力的具体措施与实施成效。⑤学校可通过必选定量指标达标情况、自选定量指标及常模数据比较情况，阐述学校的优势与成绩、做法与经验。</w:t>
      </w:r>
    </w:p>
    <w:p>
      <w:pPr>
        <w:pStyle w:val="13"/>
        <w:spacing w:line="438" w:lineRule="exact"/>
        <w:ind w:firstLine="46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制订的学生发展支持服务方面的制度文件；学分制改革和弹性学习、辅修专业、双学士学位专业学习的制度文件；开展学生成长增值评价、学习体验等的相关材料，具体材料视专家需要时提供。</w:t>
      </w:r>
    </w:p>
    <w:p>
      <w:pPr>
        <w:pStyle w:val="13"/>
        <w:spacing w:line="438" w:lineRule="exact"/>
        <w:ind w:firstLine="460"/>
        <w:jc w:val="both"/>
        <w:rPr>
          <w:rFonts w:ascii="仿宋" w:hAnsi="仿宋" w:eastAsia="仿宋"/>
          <w:b/>
          <w:bCs/>
          <w:lang w:eastAsia="zh-CN"/>
        </w:rPr>
      </w:pPr>
      <w:r>
        <w:rPr>
          <w:rFonts w:ascii="仿宋" w:hAnsi="仿宋" w:eastAsia="仿宋"/>
          <w:b/>
          <w:bCs/>
          <w:lang w:eastAsia="zh-CN"/>
        </w:rPr>
        <w:t>5.5存在的问题、原因分析及下一步整改举措</w:t>
      </w:r>
    </w:p>
    <w:p>
      <w:pPr>
        <w:pStyle w:val="13"/>
        <w:spacing w:after="260" w:line="438" w:lineRule="exact"/>
        <w:ind w:firstLine="460"/>
        <w:jc w:val="both"/>
        <w:rPr>
          <w:rFonts w:ascii="仿宋" w:hAnsi="仿宋" w:eastAsia="仿宋"/>
          <w:lang w:eastAsia="zh-CN"/>
        </w:rPr>
      </w:pPr>
      <w:r>
        <w:rPr>
          <w:rFonts w:ascii="仿宋" w:hAnsi="仿宋" w:eastAsia="仿宋"/>
          <w:lang w:eastAsia="zh-CN"/>
        </w:rPr>
        <w:t>重点阐述：对照国家的各项要求，以及通过必选定量指标达标情况、自选定量指标及常模数据比较情况，分析学校在坚持以学生为中心，促进学生发展方面存在的主要问题是什么？问题表现是什么？产生问题的根源是什么？以及下一步如何改进。</w:t>
      </w:r>
    </w:p>
    <w:p>
      <w:pPr>
        <w:pStyle w:val="13"/>
        <w:numPr>
          <w:ilvl w:val="0"/>
          <w:numId w:val="3"/>
        </w:numPr>
        <w:spacing w:after="140" w:line="438" w:lineRule="exact"/>
        <w:ind w:firstLine="460"/>
        <w:jc w:val="both"/>
        <w:rPr>
          <w:rFonts w:ascii="仿宋" w:hAnsi="仿宋" w:eastAsia="仿宋"/>
          <w:b/>
          <w:bCs/>
          <w:lang w:eastAsia="zh-CN"/>
        </w:rPr>
      </w:pPr>
      <w:bookmarkStart w:id="23" w:name="bookmark23"/>
      <w:bookmarkEnd w:id="23"/>
      <w:r>
        <w:rPr>
          <w:rFonts w:ascii="仿宋" w:hAnsi="仿宋" w:eastAsia="仿宋"/>
          <w:b/>
          <w:bCs/>
          <w:lang w:eastAsia="zh-CN"/>
        </w:rPr>
        <w:t>质量保障</w:t>
      </w:r>
    </w:p>
    <w:p>
      <w:pPr>
        <w:pStyle w:val="13"/>
        <w:spacing w:line="439" w:lineRule="exact"/>
        <w:ind w:firstLine="460"/>
        <w:jc w:val="both"/>
        <w:rPr>
          <w:rFonts w:ascii="仿宋" w:hAnsi="仿宋" w:eastAsia="仿宋"/>
          <w:b/>
          <w:bCs/>
          <w:lang w:eastAsia="zh-CN"/>
        </w:rPr>
      </w:pPr>
      <w:r>
        <w:rPr>
          <w:rFonts w:ascii="仿宋" w:hAnsi="仿宋" w:eastAsia="仿宋"/>
          <w:b/>
          <w:bCs/>
          <w:lang w:eastAsia="zh-CN"/>
        </w:rPr>
        <w:t>6.1质量管理</w:t>
      </w:r>
    </w:p>
    <w:p>
      <w:pPr>
        <w:pStyle w:val="13"/>
        <w:spacing w:line="439" w:lineRule="exact"/>
        <w:ind w:firstLine="46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根据自身办学定位和人才培养目标，构建的各教学环节（课堂教学、实习、实验、毕业设计等）的质量标准情况；质量管理制度文件的制订及执行情况；学校质量保障机构设置及质量监控、督导队伍建设情况。②学校加强考风建设，出台的加强考试管理、严肃考试纪律的制度文件及执行情况；学校加强过程性考核与结果性考核有机结合，能力与知识考核并重的多元化学业考核评价体系的情况；对毕业论文（设计）选题、开题、答辩等环节的全过程管理，严把毕业出口关等情况。</w:t>
      </w:r>
    </w:p>
    <w:p>
      <w:pPr>
        <w:pStyle w:val="13"/>
        <w:spacing w:line="439" w:lineRule="exact"/>
        <w:ind w:firstLine="46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制订的质量管理制度文件；学校质量标准体系文件；质量监控机构设置文件；学校严格考试管理、端正考纪考风方面的材料等，具体材料视专家需要时提供。</w:t>
      </w:r>
    </w:p>
    <w:p>
      <w:pPr>
        <w:pStyle w:val="13"/>
        <w:spacing w:line="439" w:lineRule="exact"/>
        <w:ind w:firstLine="460"/>
        <w:jc w:val="both"/>
        <w:rPr>
          <w:rFonts w:ascii="仿宋" w:hAnsi="仿宋" w:eastAsia="仿宋"/>
          <w:b/>
          <w:bCs/>
          <w:lang w:eastAsia="zh-CN"/>
        </w:rPr>
      </w:pPr>
      <w:r>
        <w:rPr>
          <w:rFonts w:ascii="仿宋" w:hAnsi="仿宋" w:eastAsia="仿宋"/>
          <w:b/>
          <w:bCs/>
          <w:lang w:eastAsia="zh-CN"/>
        </w:rPr>
        <w:t>6.2质量改进</w:t>
      </w:r>
    </w:p>
    <w:p>
      <w:pPr>
        <w:pStyle w:val="13"/>
        <w:spacing w:line="437" w:lineRule="exact"/>
        <w:ind w:firstLine="46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内部质量监测与评估机制建设及运行情况，包括定期开展的评教、评学以及二级学院教学工作评估、专业评估、课程评估等；学校参加教育行政部门、社会第三方组织的外部教育教学评估，包括院校评估和专业认证等情况。②学校建立的质量评价-反馈-持续改进机制及运行情况；学校对教学质量存在的问题进行分析并制定改进的措施及落实效果。③学校建立的质量持续改进机制并持续运行情况；对内部、外部教育教学评估中存在的问题，制定纠正与改进方案和措施，配备资源，进行质量改进，并对纠正与改进措施的有效性适时进行评价情况；质量改进取得的成效。</w:t>
      </w:r>
    </w:p>
    <w:p>
      <w:pPr>
        <w:pStyle w:val="13"/>
        <w:spacing w:line="438" w:lineRule="exact"/>
        <w:ind w:firstLine="44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制订的质量改进制度文件；学校开展自评估，包括评教、评学以及二级学院教学工作评估、专业评估、课程评估等相关资料；学校接受院校评估、专业认证、第三方评估等有关情况;质量改进及对纠正与改进措施的有效性评价的有关资料,具体材料视专家需要时提供。</w:t>
      </w:r>
    </w:p>
    <w:p>
      <w:pPr>
        <w:pStyle w:val="13"/>
        <w:spacing w:line="438" w:lineRule="exact"/>
        <w:ind w:firstLine="440"/>
        <w:jc w:val="both"/>
        <w:rPr>
          <w:rFonts w:ascii="仿宋" w:hAnsi="仿宋" w:eastAsia="仿宋"/>
          <w:b/>
          <w:bCs/>
          <w:lang w:eastAsia="zh-CN"/>
        </w:rPr>
      </w:pPr>
      <w:r>
        <w:rPr>
          <w:rFonts w:ascii="仿宋" w:hAnsi="仿宋" w:eastAsia="仿宋"/>
          <w:b/>
          <w:bCs/>
          <w:lang w:eastAsia="zh-CN"/>
        </w:rPr>
        <w:t>6.3质量文化</w:t>
      </w:r>
    </w:p>
    <w:p>
      <w:pPr>
        <w:pStyle w:val="13"/>
        <w:spacing w:line="438" w:lineRule="exact"/>
        <w:ind w:firstLine="44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加强自觉、自省、自律、自查、自纠的质量文化建设情况；将质量意识、质量标准、质量评价、质量管理等落实到教育教学各环节措施与取得的成效。②学校质量信息，包括招生情况、教师队伍与教学条件、学生就业情况等公开制度建立与执行情况；学校年度《本科教学质量报告》《就业质量年度报告》发布以及信息内容的真实、准确、及时和全面性情况；学校各专业培养目标、毕业要求、课程教学大纲公开的途径及面向师生宣贯的成效。</w:t>
      </w:r>
    </w:p>
    <w:p>
      <w:pPr>
        <w:pStyle w:val="13"/>
        <w:spacing w:line="438" w:lineRule="exact"/>
        <w:ind w:firstLine="44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制订的加强质量文化建设的制度文件；学校近三年发布的《本科教学质量报告》《就业质量年度报告》；学校在质量文化建设方面的宣传报道等材料；各专业培养目标、毕业要求、课程教学大纲等公开的载体、过程记录及体现宣贯成效的证明材料，具体材料视专家需要时提供。</w:t>
      </w:r>
    </w:p>
    <w:p>
      <w:pPr>
        <w:pStyle w:val="13"/>
        <w:spacing w:line="438" w:lineRule="exact"/>
        <w:ind w:firstLine="440"/>
        <w:jc w:val="both"/>
        <w:rPr>
          <w:rFonts w:ascii="仿宋" w:hAnsi="仿宋" w:eastAsia="仿宋"/>
          <w:b/>
          <w:bCs/>
          <w:lang w:eastAsia="zh-CN"/>
        </w:rPr>
      </w:pPr>
      <w:r>
        <w:rPr>
          <w:rFonts w:ascii="仿宋" w:hAnsi="仿宋" w:eastAsia="仿宋"/>
          <w:b/>
          <w:bCs/>
          <w:lang w:eastAsia="zh-CN"/>
        </w:rPr>
        <w:t>6.4存在的问题、原因分析及下一步整改举措</w:t>
      </w:r>
    </w:p>
    <w:p>
      <w:pPr>
        <w:pStyle w:val="13"/>
        <w:spacing w:after="260" w:line="438" w:lineRule="exact"/>
        <w:ind w:firstLine="44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学校在质量保障体系建设与有效运行方面存在的主要问题是什么？问题表现是什么？产生问题的根源是什么？以及下一步如何改进。</w:t>
      </w:r>
    </w:p>
    <w:p>
      <w:pPr>
        <w:pStyle w:val="13"/>
        <w:numPr>
          <w:ilvl w:val="0"/>
          <w:numId w:val="3"/>
        </w:numPr>
        <w:spacing w:after="140" w:line="438" w:lineRule="exact"/>
        <w:ind w:firstLine="440"/>
        <w:jc w:val="both"/>
        <w:rPr>
          <w:rFonts w:ascii="仿宋" w:hAnsi="仿宋" w:eastAsia="仿宋"/>
          <w:b/>
          <w:bCs/>
          <w:lang w:eastAsia="zh-CN"/>
        </w:rPr>
      </w:pPr>
      <w:bookmarkStart w:id="24" w:name="bookmark24"/>
      <w:bookmarkEnd w:id="24"/>
      <w:r>
        <w:rPr>
          <w:rFonts w:ascii="仿宋" w:hAnsi="仿宋" w:eastAsia="仿宋"/>
          <w:b/>
          <w:bCs/>
          <w:lang w:eastAsia="zh-CN"/>
        </w:rPr>
        <w:t>教学成效</w:t>
      </w:r>
    </w:p>
    <w:p>
      <w:pPr>
        <w:pStyle w:val="13"/>
        <w:spacing w:line="442" w:lineRule="exact"/>
        <w:ind w:firstLine="440"/>
        <w:jc w:val="both"/>
        <w:rPr>
          <w:rFonts w:ascii="仿宋" w:hAnsi="仿宋" w:eastAsia="仿宋"/>
          <w:b/>
          <w:bCs/>
          <w:lang w:eastAsia="zh-CN"/>
        </w:rPr>
      </w:pPr>
      <w:r>
        <w:rPr>
          <w:rFonts w:ascii="仿宋" w:hAnsi="仿宋" w:eastAsia="仿宋"/>
          <w:b/>
          <w:bCs/>
          <w:lang w:eastAsia="zh-CN"/>
        </w:rPr>
        <w:t>7.1达成度</w:t>
      </w:r>
    </w:p>
    <w:p>
      <w:pPr>
        <w:pStyle w:val="13"/>
        <w:spacing w:line="442" w:lineRule="exact"/>
        <w:ind w:firstLine="44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①学校专业人才培养目标的达成评价方法、评价重点以及评价的结论。②学校毕业生质量持续跟踪评价机制建立及实施情况;近三年毕业生质量持续跟踪评价结果。</w:t>
      </w:r>
    </w:p>
    <w:p>
      <w:pPr>
        <w:pStyle w:val="13"/>
        <w:spacing w:line="438" w:lineRule="exact"/>
        <w:ind w:firstLine="46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列出能够证明上述自评结果的相关材料目录索引，如学校对毕业生质量持续跟踪评价的制度文件；对毕业生职业发展、用人单位以及各利益相关方的跟踪调查资料等，具体材料视专家需要时提供。</w:t>
      </w:r>
    </w:p>
    <w:p>
      <w:pPr>
        <w:pStyle w:val="13"/>
        <w:spacing w:line="438" w:lineRule="exact"/>
        <w:ind w:firstLine="460"/>
        <w:jc w:val="both"/>
        <w:rPr>
          <w:rFonts w:ascii="仿宋" w:hAnsi="仿宋" w:eastAsia="仿宋"/>
          <w:b/>
          <w:bCs/>
          <w:lang w:eastAsia="zh-CN"/>
        </w:rPr>
      </w:pPr>
      <w:r>
        <w:rPr>
          <w:rFonts w:ascii="仿宋" w:hAnsi="仿宋" w:eastAsia="仿宋"/>
          <w:b/>
          <w:bCs/>
          <w:lang w:eastAsia="zh-CN"/>
        </w:rPr>
        <w:t>7.2适应度</w:t>
      </w:r>
    </w:p>
    <w:p>
      <w:pPr>
        <w:pStyle w:val="13"/>
        <w:spacing w:line="438" w:lineRule="exact"/>
        <w:ind w:firstLine="46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近三年本科生生源情况分析。②学校近三年本科毕业生的就业情况、就业质量分析。对于学术型人才培养，要阐述毕业生面向国家和经济社会发展需要就业情况、就业质量和职业发展情况；对于应用型人才培养，要阐述毕业生面向学校所服务的区域和行业企业就业情况、就业质量及职业发展情况。③学校可通过必选定量指标达标情况、自选定量指标及常模数据比较情况，阐述学校的优势与成绩、做法与经验。</w:t>
      </w:r>
    </w:p>
    <w:p>
      <w:pPr>
        <w:pStyle w:val="13"/>
        <w:spacing w:line="438" w:lineRule="exact"/>
        <w:ind w:firstLine="46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列出能够证明上述自评结果的相关材料目录索引，如学校近三年本科生生源质量分析报告；学校近三年本科毕业生就业质量报告，具体材料视专家需要时提供。</w:t>
      </w:r>
    </w:p>
    <w:p>
      <w:pPr>
        <w:pStyle w:val="13"/>
        <w:spacing w:line="438" w:lineRule="exact"/>
        <w:ind w:firstLine="460"/>
        <w:jc w:val="both"/>
        <w:rPr>
          <w:rFonts w:ascii="仿宋" w:hAnsi="仿宋" w:eastAsia="仿宋"/>
          <w:b/>
          <w:bCs/>
          <w:lang w:eastAsia="zh-CN"/>
        </w:rPr>
      </w:pPr>
      <w:r>
        <w:rPr>
          <w:rFonts w:ascii="仿宋" w:hAnsi="仿宋" w:eastAsia="仿宋"/>
          <w:b/>
          <w:bCs/>
          <w:lang w:eastAsia="zh-CN"/>
        </w:rPr>
        <w:t>7.3保障度</w:t>
      </w:r>
    </w:p>
    <w:p>
      <w:pPr>
        <w:pStyle w:val="13"/>
        <w:spacing w:line="438" w:lineRule="exact"/>
        <w:ind w:firstLine="46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近三年教学经费投入情况；学校教室、实验室、图书馆、体育场馆、艺术场馆等资源条件满足教学需要情况。②学校教师的数量、结构、教学水平、产学研用能力、国际视野、教学投入情况及满足人才培养需要情况。③学校可通过必选定量指标达标情况、自选定量指标及常模数据比较情况，阐述学校的优势与成绩、做法与经验。</w:t>
      </w:r>
    </w:p>
    <w:p>
      <w:pPr>
        <w:pStyle w:val="13"/>
        <w:spacing w:line="438" w:lineRule="exact"/>
        <w:ind w:firstLine="46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列出能够证明上述自评结果的相关材料目录索引，如学校教学经费、教室和实验室统计表、图书馆、体育场馆、艺术场馆、教师名册等材料，具体材料视专家需要时提供。</w:t>
      </w:r>
    </w:p>
    <w:p>
      <w:pPr>
        <w:pStyle w:val="13"/>
        <w:spacing w:line="438" w:lineRule="exact"/>
        <w:ind w:firstLine="460"/>
        <w:jc w:val="both"/>
        <w:rPr>
          <w:rFonts w:ascii="仿宋" w:hAnsi="仿宋" w:eastAsia="仿宋"/>
          <w:b/>
          <w:bCs/>
          <w:lang w:eastAsia="zh-CN"/>
        </w:rPr>
      </w:pPr>
      <w:r>
        <w:rPr>
          <w:rFonts w:ascii="仿宋" w:hAnsi="仿宋" w:eastAsia="仿宋"/>
          <w:b/>
          <w:bCs/>
          <w:lang w:eastAsia="zh-CN"/>
        </w:rPr>
        <w:t>7.4有效度</w:t>
      </w:r>
    </w:p>
    <w:p>
      <w:pPr>
        <w:pStyle w:val="13"/>
        <w:spacing w:line="438" w:lineRule="exact"/>
        <w:ind w:firstLine="46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人才培养各要素方面规章制度的有效运行情况。②学校针对质量监控、质量评估和质量分析中发现问题的持续改进情况，可分析比较学校近三年人才培养核心数据的变化态势、判断人才培养工作持续改进、持续提升的效果。③列出近五年专业领域的优秀毕业生十个典型案例，总结其培养经验。</w:t>
      </w:r>
    </w:p>
    <w:p>
      <w:pPr>
        <w:pStyle w:val="13"/>
        <w:spacing w:line="438" w:lineRule="exact"/>
        <w:ind w:firstLine="46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列出能够证明上述自评结果的相关材料目录索引，如对学校人才培养各环节监控、检查资料；近三年人才培养核心数据统计资料；优秀毕业生典型案例及其有关的宣传报道情况，具体材料视专家需要时提供。</w:t>
      </w:r>
    </w:p>
    <w:p>
      <w:pPr>
        <w:pStyle w:val="13"/>
        <w:spacing w:line="439" w:lineRule="exact"/>
        <w:ind w:firstLine="440"/>
        <w:jc w:val="both"/>
        <w:rPr>
          <w:rFonts w:ascii="仿宋" w:hAnsi="仿宋" w:eastAsia="仿宋"/>
          <w:b/>
          <w:bCs/>
          <w:lang w:eastAsia="zh-CN"/>
        </w:rPr>
      </w:pPr>
      <w:r>
        <w:rPr>
          <w:rFonts w:ascii="仿宋" w:hAnsi="仿宋" w:eastAsia="仿宋"/>
          <w:b/>
          <w:bCs/>
          <w:lang w:eastAsia="zh-CN"/>
        </w:rPr>
        <w:t>7.5满意度</w:t>
      </w:r>
    </w:p>
    <w:p>
      <w:pPr>
        <w:pStyle w:val="13"/>
        <w:spacing w:line="439" w:lineRule="exact"/>
        <w:ind w:firstLine="44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①学校开展的对在校生和毕业生学习与成长满意度的调查情况及结论。②学校开展的教师对教育教学工作满意度的调查情况及结论。③学校开展的用人单位对毕业生满意度调查情况及结论。</w:t>
      </w:r>
    </w:p>
    <w:p>
      <w:pPr>
        <w:pStyle w:val="13"/>
        <w:spacing w:line="439" w:lineRule="exact"/>
        <w:ind w:firstLine="440"/>
        <w:jc w:val="both"/>
        <w:rPr>
          <w:rFonts w:ascii="仿宋" w:hAnsi="仿宋" w:eastAsia="仿宋"/>
          <w:lang w:eastAsia="zh-CN"/>
        </w:rPr>
      </w:pPr>
      <w:r>
        <w:rPr>
          <w:rFonts w:ascii="仿宋" w:hAnsi="仿宋" w:eastAsia="仿宋"/>
          <w:b/>
          <w:bCs/>
          <w:lang w:eastAsia="zh-CN"/>
        </w:rPr>
        <w:t>支撑材料目录：</w:t>
      </w:r>
      <w:r>
        <w:rPr>
          <w:rFonts w:ascii="仿宋" w:hAnsi="仿宋" w:eastAsia="仿宋"/>
          <w:lang w:eastAsia="zh-CN"/>
        </w:rPr>
        <w:t>列出能够证明上述自评结果的相关材料目录索引，如学校定期开展的在校生和毕业生座谈会、教师座谈会、用人单位座谈会和问卷调查材料；学生、教师对教学、管理、服务提出的意见和建议；社会用人单位对毕业生的评价及其对学校专业设置、培养目标、培养规格、培养方案、教学方法改进提出的意见等，具体材料视专家需要时提供。</w:t>
      </w:r>
    </w:p>
    <w:p>
      <w:pPr>
        <w:pStyle w:val="13"/>
        <w:spacing w:line="439" w:lineRule="exact"/>
        <w:ind w:firstLine="440"/>
        <w:jc w:val="both"/>
        <w:rPr>
          <w:rFonts w:ascii="仿宋" w:hAnsi="仿宋" w:eastAsia="仿宋"/>
          <w:b/>
          <w:bCs/>
          <w:lang w:eastAsia="zh-CN"/>
        </w:rPr>
      </w:pPr>
      <w:r>
        <w:rPr>
          <w:rFonts w:ascii="仿宋" w:hAnsi="仿宋" w:eastAsia="仿宋"/>
          <w:b/>
          <w:bCs/>
          <w:lang w:eastAsia="zh-CN"/>
        </w:rPr>
        <w:t>7.6存在的问题、原因分析及下一步整改举措</w:t>
      </w:r>
    </w:p>
    <w:p>
      <w:pPr>
        <w:pStyle w:val="13"/>
        <w:spacing w:after="260" w:line="439" w:lineRule="exact"/>
        <w:ind w:firstLine="440"/>
        <w:jc w:val="both"/>
        <w:rPr>
          <w:rFonts w:ascii="仿宋" w:hAnsi="仿宋" w:eastAsia="仿宋"/>
          <w:lang w:eastAsia="zh-CN"/>
        </w:rPr>
      </w:pPr>
      <w:r>
        <w:rPr>
          <w:rFonts w:ascii="仿宋" w:hAnsi="仿宋" w:eastAsia="仿宋"/>
          <w:b/>
          <w:bCs/>
          <w:lang w:eastAsia="zh-CN"/>
        </w:rPr>
        <w:t>重点阐述：</w:t>
      </w:r>
      <w:r>
        <w:rPr>
          <w:rFonts w:ascii="仿宋" w:hAnsi="仿宋" w:eastAsia="仿宋"/>
          <w:lang w:eastAsia="zh-CN"/>
        </w:rPr>
        <w:t>对照学校人才培养目标要求，以及通过必选定量指标达标情况、自选定量指标及常模数据比较情况，分析学校在教学成效的“五个度“方面存在的主要问题是什么？问题表现是什么？产生问题的根源是什么？以及下一步如何改进。</w:t>
      </w:r>
    </w:p>
    <w:p>
      <w:pPr>
        <w:pStyle w:val="13"/>
        <w:spacing w:after="320" w:line="439" w:lineRule="exact"/>
        <w:ind w:firstLine="440"/>
        <w:jc w:val="both"/>
        <w:rPr>
          <w:rFonts w:ascii="仿宋" w:hAnsi="仿宋" w:eastAsia="仿宋"/>
          <w:b/>
          <w:bCs/>
          <w:lang w:eastAsia="zh-CN"/>
        </w:rPr>
      </w:pPr>
    </w:p>
    <w:p>
      <w:pPr>
        <w:pStyle w:val="13"/>
        <w:spacing w:after="320" w:line="439" w:lineRule="exact"/>
        <w:ind w:firstLine="440"/>
        <w:jc w:val="both"/>
        <w:rPr>
          <w:rFonts w:ascii="仿宋" w:hAnsi="仿宋" w:eastAsia="仿宋"/>
          <w:b/>
          <w:bCs/>
          <w:lang w:eastAsia="zh-CN"/>
        </w:rPr>
      </w:pPr>
    </w:p>
    <w:p>
      <w:pPr>
        <w:pStyle w:val="13"/>
        <w:spacing w:after="320" w:line="439" w:lineRule="exact"/>
        <w:ind w:firstLine="440"/>
        <w:jc w:val="both"/>
        <w:rPr>
          <w:rFonts w:ascii="仿宋" w:hAnsi="仿宋" w:eastAsia="仿宋"/>
          <w:b/>
          <w:bCs/>
          <w:lang w:eastAsia="zh-CN"/>
        </w:rPr>
      </w:pPr>
    </w:p>
    <w:p>
      <w:pPr>
        <w:pStyle w:val="13"/>
        <w:spacing w:after="320" w:line="439" w:lineRule="exact"/>
        <w:ind w:firstLine="440"/>
        <w:jc w:val="both"/>
        <w:rPr>
          <w:rFonts w:ascii="仿宋" w:hAnsi="仿宋" w:eastAsia="仿宋"/>
          <w:b/>
          <w:bCs/>
          <w:lang w:eastAsia="zh-CN"/>
        </w:rPr>
      </w:pPr>
    </w:p>
    <w:p>
      <w:pPr>
        <w:pStyle w:val="13"/>
        <w:spacing w:after="320" w:line="439" w:lineRule="exact"/>
        <w:ind w:firstLine="440"/>
        <w:jc w:val="both"/>
        <w:rPr>
          <w:rFonts w:ascii="仿宋" w:hAnsi="仿宋" w:eastAsia="仿宋"/>
          <w:b/>
          <w:bCs/>
          <w:lang w:eastAsia="zh-CN"/>
        </w:rPr>
      </w:pPr>
    </w:p>
    <w:p>
      <w:pPr>
        <w:pStyle w:val="13"/>
        <w:spacing w:after="320" w:line="439" w:lineRule="exact"/>
        <w:ind w:firstLine="440"/>
        <w:jc w:val="both"/>
        <w:rPr>
          <w:rFonts w:ascii="仿宋" w:hAnsi="仿宋" w:eastAsia="仿宋"/>
          <w:b/>
          <w:bCs/>
          <w:lang w:eastAsia="zh-CN"/>
        </w:rPr>
      </w:pPr>
    </w:p>
    <w:p>
      <w:pPr>
        <w:pStyle w:val="13"/>
        <w:spacing w:after="320" w:line="439" w:lineRule="exact"/>
        <w:ind w:firstLine="440"/>
        <w:jc w:val="both"/>
        <w:rPr>
          <w:rFonts w:ascii="仿宋" w:hAnsi="仿宋" w:eastAsia="仿宋"/>
          <w:b/>
          <w:bCs/>
          <w:lang w:eastAsia="zh-CN"/>
        </w:rPr>
      </w:pPr>
      <w:bookmarkStart w:id="79" w:name="_GoBack"/>
      <w:bookmarkEnd w:id="79"/>
      <w:r>
        <w:rPr>
          <w:rFonts w:ascii="仿宋" w:hAnsi="仿宋" w:eastAsia="仿宋"/>
          <w:b/>
          <w:bCs/>
          <w:lang w:eastAsia="zh-CN"/>
        </w:rPr>
        <w:t>附1:本科教育教学自评问题清单</w:t>
      </w:r>
    </w:p>
    <w:p>
      <w:pPr>
        <w:pStyle w:val="15"/>
        <w:jc w:val="right"/>
        <w:rPr>
          <w:rFonts w:ascii="仿宋" w:hAnsi="仿宋" w:eastAsia="仿宋"/>
          <w:lang w:eastAsia="zh-CN"/>
        </w:rPr>
      </w:pPr>
      <w:r>
        <w:rPr>
          <w:rFonts w:ascii="仿宋" w:hAnsi="仿宋" w:eastAsia="仿宋"/>
          <w:lang w:eastAsia="zh-CN"/>
        </w:rPr>
        <w:t>问题清单表（参考格式）</w:t>
      </w:r>
    </w:p>
    <w:tbl>
      <w:tblPr>
        <w:tblStyle w:val="4"/>
        <w:tblW w:w="0" w:type="auto"/>
        <w:jc w:val="center"/>
        <w:tblLayout w:type="fixed"/>
        <w:tblCellMar>
          <w:top w:w="0" w:type="dxa"/>
          <w:left w:w="10" w:type="dxa"/>
          <w:bottom w:w="0" w:type="dxa"/>
          <w:right w:w="10" w:type="dxa"/>
        </w:tblCellMar>
      </w:tblPr>
      <w:tblGrid>
        <w:gridCol w:w="1440"/>
        <w:gridCol w:w="2597"/>
        <w:gridCol w:w="1872"/>
        <w:gridCol w:w="2314"/>
      </w:tblGrid>
      <w:tr>
        <w:tblPrEx>
          <w:tblCellMar>
            <w:top w:w="0" w:type="dxa"/>
            <w:left w:w="10" w:type="dxa"/>
            <w:bottom w:w="0" w:type="dxa"/>
            <w:right w:w="10" w:type="dxa"/>
          </w:tblCellMar>
        </w:tblPrEx>
        <w:trPr>
          <w:trHeight w:val="422" w:hRule="exact"/>
          <w:jc w:val="center"/>
        </w:trPr>
        <w:tc>
          <w:tcPr>
            <w:tcW w:w="1440" w:type="dxa"/>
            <w:vMerge w:val="restart"/>
            <w:tcBorders>
              <w:top w:val="single" w:color="auto" w:sz="4" w:space="0"/>
              <w:left w:val="single" w:color="auto" w:sz="4" w:space="0"/>
            </w:tcBorders>
            <w:shd w:val="clear" w:color="auto" w:fill="FFFFFF"/>
            <w:vAlign w:val="center"/>
          </w:tcPr>
          <w:p>
            <w:pPr>
              <w:pStyle w:val="17"/>
              <w:spacing w:line="240" w:lineRule="auto"/>
              <w:ind w:firstLine="0"/>
              <w:jc w:val="center"/>
              <w:rPr>
                <w:rFonts w:ascii="仿宋" w:hAnsi="仿宋" w:eastAsia="仿宋"/>
                <w:sz w:val="16"/>
                <w:szCs w:val="16"/>
              </w:rPr>
            </w:pPr>
            <w:r>
              <w:rPr>
                <w:rFonts w:ascii="仿宋" w:hAnsi="仿宋" w:eastAsia="仿宋"/>
                <w:sz w:val="16"/>
                <w:szCs w:val="16"/>
              </w:rPr>
              <w:t>问题序号</w:t>
            </w:r>
          </w:p>
        </w:tc>
        <w:tc>
          <w:tcPr>
            <w:tcW w:w="4469" w:type="dxa"/>
            <w:gridSpan w:val="2"/>
            <w:tcBorders>
              <w:top w:val="single" w:color="auto" w:sz="4" w:space="0"/>
              <w:left w:val="single" w:color="auto" w:sz="4" w:space="0"/>
            </w:tcBorders>
            <w:shd w:val="clear" w:color="auto" w:fill="FFFFFF"/>
            <w:vAlign w:val="center"/>
          </w:tcPr>
          <w:p>
            <w:pPr>
              <w:pStyle w:val="17"/>
              <w:spacing w:line="240" w:lineRule="auto"/>
              <w:ind w:firstLine="0"/>
              <w:jc w:val="center"/>
              <w:rPr>
                <w:rFonts w:ascii="仿宋" w:hAnsi="仿宋" w:eastAsia="仿宋"/>
                <w:sz w:val="16"/>
                <w:szCs w:val="16"/>
              </w:rPr>
            </w:pPr>
            <w:r>
              <w:rPr>
                <w:rFonts w:ascii="仿宋" w:hAnsi="仿宋" w:eastAsia="仿宋"/>
                <w:sz w:val="16"/>
                <w:szCs w:val="16"/>
              </w:rPr>
              <w:t>对应的审核指标</w:t>
            </w:r>
          </w:p>
        </w:tc>
        <w:tc>
          <w:tcPr>
            <w:tcW w:w="2314" w:type="dxa"/>
            <w:vMerge w:val="restart"/>
            <w:tcBorders>
              <w:top w:val="single" w:color="auto" w:sz="4" w:space="0"/>
              <w:left w:val="single" w:color="auto" w:sz="4" w:space="0"/>
              <w:right w:val="single" w:color="auto" w:sz="4" w:space="0"/>
            </w:tcBorders>
            <w:shd w:val="clear" w:color="auto" w:fill="FFFFFF"/>
            <w:vAlign w:val="center"/>
          </w:tcPr>
          <w:p>
            <w:pPr>
              <w:pStyle w:val="17"/>
              <w:spacing w:line="240" w:lineRule="auto"/>
              <w:ind w:firstLine="0"/>
              <w:jc w:val="center"/>
              <w:rPr>
                <w:rFonts w:ascii="仿宋" w:hAnsi="仿宋" w:eastAsia="仿宋"/>
                <w:sz w:val="16"/>
                <w:szCs w:val="16"/>
              </w:rPr>
            </w:pPr>
            <w:r>
              <w:rPr>
                <w:rFonts w:ascii="仿宋" w:hAnsi="仿宋" w:eastAsia="仿宋"/>
                <w:sz w:val="16"/>
                <w:szCs w:val="16"/>
              </w:rPr>
              <w:t>问题简明表述</w:t>
            </w:r>
          </w:p>
        </w:tc>
      </w:tr>
      <w:tr>
        <w:tblPrEx>
          <w:tblCellMar>
            <w:top w:w="0" w:type="dxa"/>
            <w:left w:w="10" w:type="dxa"/>
            <w:bottom w:w="0" w:type="dxa"/>
            <w:right w:w="10" w:type="dxa"/>
          </w:tblCellMar>
        </w:tblPrEx>
        <w:trPr>
          <w:trHeight w:val="408" w:hRule="exact"/>
          <w:jc w:val="center"/>
        </w:trPr>
        <w:tc>
          <w:tcPr>
            <w:tcW w:w="1440" w:type="dxa"/>
            <w:vMerge w:val="continue"/>
            <w:tcBorders>
              <w:left w:val="single" w:color="auto" w:sz="4" w:space="0"/>
            </w:tcBorders>
            <w:shd w:val="clear" w:color="auto" w:fill="FFFFFF"/>
            <w:vAlign w:val="center"/>
          </w:tcPr>
          <w:p>
            <w:pPr>
              <w:rPr>
                <w:rFonts w:ascii="仿宋" w:hAnsi="仿宋" w:eastAsia="仿宋"/>
              </w:rPr>
            </w:pPr>
          </w:p>
        </w:tc>
        <w:tc>
          <w:tcPr>
            <w:tcW w:w="2597" w:type="dxa"/>
            <w:tcBorders>
              <w:top w:val="single" w:color="auto" w:sz="4" w:space="0"/>
              <w:left w:val="single" w:color="auto" w:sz="4" w:space="0"/>
            </w:tcBorders>
            <w:shd w:val="clear" w:color="auto" w:fill="FFFFFF"/>
            <w:vAlign w:val="center"/>
          </w:tcPr>
          <w:p>
            <w:pPr>
              <w:pStyle w:val="17"/>
              <w:spacing w:line="240" w:lineRule="auto"/>
              <w:ind w:firstLine="0"/>
              <w:jc w:val="center"/>
              <w:rPr>
                <w:rFonts w:ascii="仿宋" w:hAnsi="仿宋" w:eastAsia="仿宋"/>
                <w:sz w:val="16"/>
                <w:szCs w:val="16"/>
              </w:rPr>
            </w:pPr>
            <w:r>
              <w:rPr>
                <w:rFonts w:ascii="仿宋" w:hAnsi="仿宋" w:eastAsia="仿宋"/>
                <w:sz w:val="16"/>
                <w:szCs w:val="16"/>
              </w:rPr>
              <w:t>一级指标</w:t>
            </w:r>
          </w:p>
        </w:tc>
        <w:tc>
          <w:tcPr>
            <w:tcW w:w="1872" w:type="dxa"/>
            <w:tcBorders>
              <w:top w:val="single" w:color="auto" w:sz="4" w:space="0"/>
              <w:left w:val="single" w:color="auto" w:sz="4" w:space="0"/>
            </w:tcBorders>
            <w:shd w:val="clear" w:color="auto" w:fill="FFFFFF"/>
            <w:vAlign w:val="center"/>
          </w:tcPr>
          <w:p>
            <w:pPr>
              <w:pStyle w:val="17"/>
              <w:spacing w:line="240" w:lineRule="auto"/>
              <w:ind w:firstLine="0"/>
              <w:jc w:val="center"/>
              <w:rPr>
                <w:rFonts w:ascii="仿宋" w:hAnsi="仿宋" w:eastAsia="仿宋"/>
                <w:sz w:val="16"/>
                <w:szCs w:val="16"/>
              </w:rPr>
            </w:pPr>
            <w:r>
              <w:rPr>
                <w:rFonts w:ascii="仿宋" w:hAnsi="仿宋" w:eastAsia="仿宋"/>
                <w:sz w:val="16"/>
                <w:szCs w:val="16"/>
              </w:rPr>
              <w:t>二级指标</w:t>
            </w:r>
          </w:p>
        </w:tc>
        <w:tc>
          <w:tcPr>
            <w:tcW w:w="2314" w:type="dxa"/>
            <w:vMerge w:val="continue"/>
            <w:tcBorders>
              <w:left w:val="single" w:color="auto" w:sz="4" w:space="0"/>
              <w:right w:val="single" w:color="auto" w:sz="4" w:space="0"/>
            </w:tcBorders>
            <w:shd w:val="clear" w:color="auto" w:fill="FFFFFF"/>
            <w:vAlign w:val="center"/>
          </w:tcPr>
          <w:p>
            <w:pPr>
              <w:rPr>
                <w:rFonts w:ascii="仿宋" w:hAnsi="仿宋" w:eastAsia="仿宋"/>
              </w:rPr>
            </w:pPr>
          </w:p>
        </w:tc>
      </w:tr>
      <w:tr>
        <w:tblPrEx>
          <w:tblCellMar>
            <w:top w:w="0" w:type="dxa"/>
            <w:left w:w="10" w:type="dxa"/>
            <w:bottom w:w="0" w:type="dxa"/>
            <w:right w:w="10" w:type="dxa"/>
          </w:tblCellMar>
        </w:tblPrEx>
        <w:trPr>
          <w:trHeight w:val="442" w:hRule="exact"/>
          <w:jc w:val="center"/>
        </w:trPr>
        <w:tc>
          <w:tcPr>
            <w:tcW w:w="1440" w:type="dxa"/>
            <w:tcBorders>
              <w:top w:val="single" w:color="auto" w:sz="4" w:space="0"/>
              <w:left w:val="single" w:color="auto" w:sz="4" w:space="0"/>
            </w:tcBorders>
            <w:shd w:val="clear" w:color="auto" w:fill="FFFFFF"/>
          </w:tcPr>
          <w:p>
            <w:pPr>
              <w:rPr>
                <w:rFonts w:ascii="仿宋" w:hAnsi="仿宋" w:eastAsia="仿宋"/>
                <w:sz w:val="10"/>
                <w:szCs w:val="10"/>
              </w:rPr>
            </w:pPr>
          </w:p>
        </w:tc>
        <w:tc>
          <w:tcPr>
            <w:tcW w:w="2597" w:type="dxa"/>
            <w:tcBorders>
              <w:top w:val="single" w:color="auto" w:sz="4" w:space="0"/>
              <w:left w:val="single" w:color="auto" w:sz="4" w:space="0"/>
            </w:tcBorders>
            <w:shd w:val="clear" w:color="auto" w:fill="FFFFFF"/>
          </w:tcPr>
          <w:p>
            <w:pPr>
              <w:rPr>
                <w:rFonts w:ascii="仿宋" w:hAnsi="仿宋" w:eastAsia="仿宋"/>
                <w:sz w:val="10"/>
                <w:szCs w:val="10"/>
              </w:rPr>
            </w:pPr>
          </w:p>
        </w:tc>
        <w:tc>
          <w:tcPr>
            <w:tcW w:w="1872" w:type="dxa"/>
            <w:tcBorders>
              <w:top w:val="single" w:color="auto" w:sz="4" w:space="0"/>
              <w:left w:val="single" w:color="auto" w:sz="4" w:space="0"/>
            </w:tcBorders>
            <w:shd w:val="clear" w:color="auto" w:fill="FFFFFF"/>
          </w:tcPr>
          <w:p>
            <w:pPr>
              <w:rPr>
                <w:rFonts w:ascii="仿宋" w:hAnsi="仿宋" w:eastAsia="仿宋"/>
                <w:sz w:val="10"/>
                <w:szCs w:val="10"/>
              </w:rPr>
            </w:pPr>
          </w:p>
        </w:tc>
        <w:tc>
          <w:tcPr>
            <w:tcW w:w="2314" w:type="dxa"/>
            <w:tcBorders>
              <w:top w:val="single" w:color="auto" w:sz="4" w:space="0"/>
              <w:left w:val="single" w:color="auto" w:sz="4" w:space="0"/>
              <w:right w:val="single" w:color="auto" w:sz="4" w:space="0"/>
            </w:tcBorders>
            <w:shd w:val="clear" w:color="auto" w:fill="FFFFFF"/>
          </w:tcPr>
          <w:p>
            <w:pPr>
              <w:rPr>
                <w:rFonts w:ascii="仿宋" w:hAnsi="仿宋" w:eastAsia="仿宋"/>
                <w:sz w:val="10"/>
                <w:szCs w:val="10"/>
              </w:rPr>
            </w:pPr>
          </w:p>
        </w:tc>
      </w:tr>
      <w:tr>
        <w:tblPrEx>
          <w:tblCellMar>
            <w:top w:w="0" w:type="dxa"/>
            <w:left w:w="10" w:type="dxa"/>
            <w:bottom w:w="0" w:type="dxa"/>
            <w:right w:w="10" w:type="dxa"/>
          </w:tblCellMar>
        </w:tblPrEx>
        <w:trPr>
          <w:trHeight w:val="408" w:hRule="exact"/>
          <w:jc w:val="center"/>
        </w:trPr>
        <w:tc>
          <w:tcPr>
            <w:tcW w:w="1440" w:type="dxa"/>
            <w:tcBorders>
              <w:top w:val="single" w:color="auto" w:sz="4" w:space="0"/>
              <w:left w:val="single" w:color="auto" w:sz="4" w:space="0"/>
            </w:tcBorders>
            <w:shd w:val="clear" w:color="auto" w:fill="FFFFFF"/>
          </w:tcPr>
          <w:p>
            <w:pPr>
              <w:rPr>
                <w:rFonts w:ascii="仿宋" w:hAnsi="仿宋" w:eastAsia="仿宋"/>
                <w:sz w:val="10"/>
                <w:szCs w:val="10"/>
              </w:rPr>
            </w:pPr>
          </w:p>
        </w:tc>
        <w:tc>
          <w:tcPr>
            <w:tcW w:w="2597" w:type="dxa"/>
            <w:tcBorders>
              <w:top w:val="single" w:color="auto" w:sz="4" w:space="0"/>
              <w:left w:val="single" w:color="auto" w:sz="4" w:space="0"/>
            </w:tcBorders>
            <w:shd w:val="clear" w:color="auto" w:fill="FFFFFF"/>
          </w:tcPr>
          <w:p>
            <w:pPr>
              <w:rPr>
                <w:rFonts w:ascii="仿宋" w:hAnsi="仿宋" w:eastAsia="仿宋"/>
                <w:sz w:val="10"/>
                <w:szCs w:val="10"/>
              </w:rPr>
            </w:pPr>
          </w:p>
        </w:tc>
        <w:tc>
          <w:tcPr>
            <w:tcW w:w="1872" w:type="dxa"/>
            <w:tcBorders>
              <w:top w:val="single" w:color="auto" w:sz="4" w:space="0"/>
              <w:left w:val="single" w:color="auto" w:sz="4" w:space="0"/>
            </w:tcBorders>
            <w:shd w:val="clear" w:color="auto" w:fill="FFFFFF"/>
          </w:tcPr>
          <w:p>
            <w:pPr>
              <w:rPr>
                <w:rFonts w:ascii="仿宋" w:hAnsi="仿宋" w:eastAsia="仿宋"/>
                <w:sz w:val="10"/>
                <w:szCs w:val="10"/>
              </w:rPr>
            </w:pPr>
          </w:p>
        </w:tc>
        <w:tc>
          <w:tcPr>
            <w:tcW w:w="2314" w:type="dxa"/>
            <w:tcBorders>
              <w:top w:val="single" w:color="auto" w:sz="4" w:space="0"/>
              <w:left w:val="single" w:color="auto" w:sz="4" w:space="0"/>
              <w:right w:val="single" w:color="auto" w:sz="4" w:space="0"/>
            </w:tcBorders>
            <w:shd w:val="clear" w:color="auto" w:fill="FFFFFF"/>
          </w:tcPr>
          <w:p>
            <w:pPr>
              <w:rPr>
                <w:rFonts w:ascii="仿宋" w:hAnsi="仿宋" w:eastAsia="仿宋"/>
                <w:sz w:val="10"/>
                <w:szCs w:val="10"/>
              </w:rPr>
            </w:pPr>
          </w:p>
        </w:tc>
      </w:tr>
      <w:tr>
        <w:tblPrEx>
          <w:tblCellMar>
            <w:top w:w="0" w:type="dxa"/>
            <w:left w:w="10" w:type="dxa"/>
            <w:bottom w:w="0" w:type="dxa"/>
            <w:right w:w="10" w:type="dxa"/>
          </w:tblCellMar>
        </w:tblPrEx>
        <w:trPr>
          <w:trHeight w:val="427" w:hRule="exact"/>
          <w:jc w:val="center"/>
        </w:trPr>
        <w:tc>
          <w:tcPr>
            <w:tcW w:w="1440" w:type="dxa"/>
            <w:tcBorders>
              <w:top w:val="single" w:color="auto" w:sz="4" w:space="0"/>
              <w:left w:val="single" w:color="auto" w:sz="4" w:space="0"/>
              <w:bottom w:val="single" w:color="auto" w:sz="4" w:space="0"/>
            </w:tcBorders>
            <w:shd w:val="clear" w:color="auto" w:fill="FFFFFF"/>
          </w:tcPr>
          <w:p>
            <w:pPr>
              <w:rPr>
                <w:rFonts w:ascii="仿宋" w:hAnsi="仿宋" w:eastAsia="仿宋"/>
                <w:sz w:val="10"/>
                <w:szCs w:val="10"/>
              </w:rPr>
            </w:pPr>
          </w:p>
        </w:tc>
        <w:tc>
          <w:tcPr>
            <w:tcW w:w="2597" w:type="dxa"/>
            <w:tcBorders>
              <w:top w:val="single" w:color="auto" w:sz="4" w:space="0"/>
              <w:left w:val="single" w:color="auto" w:sz="4" w:space="0"/>
              <w:bottom w:val="single" w:color="auto" w:sz="4" w:space="0"/>
            </w:tcBorders>
            <w:shd w:val="clear" w:color="auto" w:fill="FFFFFF"/>
          </w:tcPr>
          <w:p>
            <w:pPr>
              <w:rPr>
                <w:rFonts w:ascii="仿宋" w:hAnsi="仿宋" w:eastAsia="仿宋"/>
                <w:sz w:val="10"/>
                <w:szCs w:val="10"/>
              </w:rPr>
            </w:pPr>
          </w:p>
        </w:tc>
        <w:tc>
          <w:tcPr>
            <w:tcW w:w="1872" w:type="dxa"/>
            <w:tcBorders>
              <w:top w:val="single" w:color="auto" w:sz="4" w:space="0"/>
              <w:left w:val="single" w:color="auto" w:sz="4" w:space="0"/>
              <w:bottom w:val="single" w:color="auto" w:sz="4" w:space="0"/>
            </w:tcBorders>
            <w:shd w:val="clear" w:color="auto" w:fill="FFFFFF"/>
          </w:tcPr>
          <w:p>
            <w:pPr>
              <w:rPr>
                <w:rFonts w:ascii="仿宋" w:hAnsi="仿宋" w:eastAsia="仿宋"/>
                <w:sz w:val="10"/>
                <w:szCs w:val="10"/>
              </w:rPr>
            </w:pPr>
          </w:p>
        </w:tc>
        <w:tc>
          <w:tcPr>
            <w:tcW w:w="2314"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10"/>
                <w:szCs w:val="10"/>
              </w:rPr>
            </w:pPr>
          </w:p>
        </w:tc>
      </w:tr>
    </w:tbl>
    <w:p>
      <w:pPr>
        <w:spacing w:after="259" w:line="1" w:lineRule="exact"/>
        <w:rPr>
          <w:rFonts w:ascii="仿宋" w:hAnsi="仿宋" w:eastAsia="仿宋"/>
        </w:rPr>
      </w:pPr>
    </w:p>
    <w:p>
      <w:pPr>
        <w:pStyle w:val="13"/>
        <w:spacing w:after="80" w:line="455" w:lineRule="exact"/>
        <w:ind w:firstLine="440"/>
        <w:jc w:val="both"/>
        <w:rPr>
          <w:rFonts w:ascii="仿宋" w:hAnsi="仿宋" w:eastAsia="仿宋"/>
          <w:b/>
          <w:bCs/>
          <w:lang w:eastAsia="zh-CN"/>
        </w:rPr>
      </w:pPr>
      <w:r>
        <w:rPr>
          <w:rFonts w:ascii="仿宋" w:hAnsi="仿宋" w:eastAsia="仿宋"/>
          <w:b/>
          <w:bCs/>
          <w:lang w:eastAsia="zh-CN"/>
        </w:rPr>
        <w:t>附2：支撑材料目录</w:t>
      </w:r>
    </w:p>
    <w:p>
      <w:pPr>
        <w:pStyle w:val="13"/>
        <w:spacing w:after="180" w:line="461" w:lineRule="exact"/>
        <w:ind w:firstLine="440"/>
        <w:jc w:val="both"/>
        <w:rPr>
          <w:rFonts w:ascii="仿宋" w:hAnsi="仿宋" w:eastAsia="仿宋"/>
          <w:b/>
          <w:bCs/>
          <w:lang w:eastAsia="zh-CN"/>
        </w:rPr>
      </w:pPr>
      <w:r>
        <w:rPr>
          <w:rFonts w:ascii="仿宋" w:hAnsi="仿宋" w:eastAsia="仿宋"/>
          <w:b/>
          <w:bCs/>
          <w:lang w:eastAsia="zh-CN"/>
        </w:rPr>
        <w:t>附3：《自评报告》数据与《本科教学状态数据分析报告》数据不一致的情况说明</w:t>
      </w:r>
    </w:p>
    <w:p>
      <w:pPr>
        <w:pStyle w:val="13"/>
        <w:spacing w:after="220" w:line="449" w:lineRule="exact"/>
        <w:ind w:firstLine="440"/>
        <w:jc w:val="both"/>
        <w:rPr>
          <w:rFonts w:ascii="仿宋" w:hAnsi="仿宋" w:eastAsia="仿宋"/>
          <w:b/>
          <w:bCs/>
          <w:lang w:eastAsia="zh-CN"/>
        </w:rPr>
      </w:pPr>
      <w:r>
        <w:rPr>
          <w:rFonts w:ascii="仿宋" w:hAnsi="仿宋" w:eastAsia="仿宋"/>
          <w:b/>
          <w:bCs/>
          <w:lang w:eastAsia="zh-CN"/>
        </w:rPr>
        <w:t>附4：异地校区情况说明,涵盖但不限于：管理模式、专业设置、招生规模、生源质量、师资情况（特别是独立师资情况）、培养质量、学位证书发放、办学资源条件及与主校区资源共享情况等</w:t>
      </w:r>
      <w:r>
        <w:rPr>
          <w:rFonts w:hint="eastAsia" w:ascii="仿宋" w:hAnsi="仿宋" w:eastAsia="仿宋"/>
          <w:b/>
          <w:bCs/>
          <w:lang w:eastAsia="zh-CN"/>
        </w:rPr>
        <w:t>。</w:t>
      </w:r>
    </w:p>
    <w:p>
      <w:pPr>
        <w:rPr>
          <w:rFonts w:ascii="仿宋" w:hAnsi="仿宋" w:eastAsia="仿宋" w:cs="宋体"/>
          <w:sz w:val="20"/>
          <w:szCs w:val="20"/>
          <w:lang w:eastAsia="zh-CN"/>
        </w:rPr>
      </w:pPr>
      <w:r>
        <w:rPr>
          <w:lang w:eastAsia="zh-CN"/>
        </w:rPr>
        <w:br w:type="page"/>
      </w:r>
    </w:p>
    <w:p>
      <w:pPr>
        <w:pStyle w:val="13"/>
        <w:spacing w:after="220" w:line="449" w:lineRule="exact"/>
        <w:ind w:firstLine="440"/>
        <w:jc w:val="both"/>
        <w:rPr>
          <w:lang w:eastAsia="zh-CN"/>
        </w:rPr>
        <w:sectPr>
          <w:pgSz w:w="9547" w:h="14568"/>
          <w:pgMar w:top="802" w:right="632" w:bottom="980" w:left="606" w:header="0" w:footer="3" w:gutter="0"/>
          <w:cols w:space="720" w:num="1"/>
          <w:docGrid w:linePitch="360" w:charSpace="0"/>
        </w:sectPr>
      </w:pPr>
    </w:p>
    <w:p>
      <w:pPr>
        <w:pStyle w:val="7"/>
        <w:keepNext/>
        <w:keepLines/>
        <w:spacing w:before="0" w:after="1760" w:line="648" w:lineRule="exact"/>
        <w:rPr>
          <w:lang w:eastAsia="zh-CN"/>
        </w:rPr>
      </w:pPr>
      <w:bookmarkStart w:id="25" w:name="bookmark26"/>
      <w:bookmarkStart w:id="26" w:name="bookmark25"/>
      <w:bookmarkStart w:id="27" w:name="bookmark27"/>
      <w:r>
        <w:rPr>
          <w:lang w:eastAsia="zh-CN"/>
        </w:rPr>
        <w:t>普通高等学校本科教育教学审核评估</w:t>
      </w:r>
      <w:r>
        <w:rPr>
          <w:lang w:eastAsia="zh-CN"/>
        </w:rPr>
        <w:br w:type="textWrapping"/>
      </w:r>
      <w:r>
        <w:rPr>
          <w:lang w:eastAsia="zh-CN"/>
        </w:rPr>
        <w:t>整改方案</w:t>
      </w:r>
      <w:bookmarkEnd w:id="25"/>
      <w:bookmarkEnd w:id="26"/>
      <w:bookmarkEnd w:id="27"/>
    </w:p>
    <w:p>
      <w:pPr>
        <w:pStyle w:val="11"/>
        <w:spacing w:after="2340"/>
        <w:ind w:left="0"/>
        <w:jc w:val="center"/>
        <w:rPr>
          <w:sz w:val="24"/>
          <w:szCs w:val="24"/>
          <w:lang w:eastAsia="zh-CN"/>
        </w:rPr>
      </w:pPr>
      <w:r>
        <w:rPr>
          <w:sz w:val="24"/>
          <w:szCs w:val="24"/>
          <w:lang w:eastAsia="zh-CN"/>
        </w:rPr>
        <w:t>〈可以插入学校的</w:t>
      </w:r>
      <w:r>
        <w:rPr>
          <w:rFonts w:ascii="Arial" w:hAnsi="Arial" w:eastAsia="Arial" w:cs="Arial"/>
          <w:sz w:val="24"/>
          <w:szCs w:val="24"/>
          <w:lang w:eastAsia="zh-CN"/>
        </w:rPr>
        <w:t>logo&gt;</w:t>
      </w:r>
    </w:p>
    <w:p>
      <w:pPr>
        <w:pStyle w:val="11"/>
        <w:ind w:left="1740"/>
        <w:rPr>
          <w:lang w:eastAsia="zh-CN"/>
        </w:rPr>
      </w:pPr>
      <w:r>
        <w:rPr>
          <w:lang w:eastAsia="zh-CN"/>
        </w:rPr>
        <w:t>学校名称（公章）：</w:t>
      </w:r>
    </w:p>
    <w:p>
      <w:pPr>
        <w:pStyle w:val="11"/>
        <w:ind w:left="1740"/>
        <w:rPr>
          <w:lang w:eastAsia="zh-CN"/>
        </w:rPr>
      </w:pPr>
      <w:r>
        <w:rPr>
          <w:lang w:eastAsia="zh-CN"/>
        </w:rPr>
        <w:t>评估类型：</w:t>
      </w:r>
    </w:p>
    <w:p>
      <w:pPr>
        <w:pStyle w:val="11"/>
        <w:ind w:left="1740"/>
        <w:rPr>
          <w:lang w:eastAsia="zh-CN"/>
        </w:rPr>
      </w:pPr>
      <w:r>
        <w:rPr>
          <w:lang w:eastAsia="zh-CN"/>
        </w:rPr>
        <w:t>评估时间：</w:t>
      </w:r>
    </w:p>
    <w:p>
      <w:pPr>
        <w:pStyle w:val="11"/>
        <w:ind w:left="1740"/>
        <w:rPr>
          <w:lang w:eastAsia="zh-CN"/>
        </w:rPr>
      </w:pPr>
      <w:r>
        <w:rPr>
          <w:lang w:eastAsia="zh-CN"/>
        </w:rPr>
        <w:t>学校联系人：</w:t>
      </w:r>
    </w:p>
    <w:p>
      <w:pPr>
        <w:pStyle w:val="11"/>
        <w:ind w:left="1740"/>
        <w:rPr>
          <w:lang w:eastAsia="zh-CN"/>
        </w:rPr>
      </w:pPr>
      <w:r>
        <w:rPr>
          <w:lang w:eastAsia="zh-CN"/>
        </w:rPr>
        <w:t>联系电话：</w:t>
      </w:r>
    </w:p>
    <w:p>
      <w:pPr>
        <w:pStyle w:val="11"/>
        <w:ind w:left="1740"/>
        <w:rPr>
          <w:lang w:eastAsia="zh-CN"/>
        </w:rPr>
      </w:pPr>
      <w:r>
        <w:rPr>
          <w:lang w:eastAsia="zh-CN"/>
        </w:rPr>
        <w:t>校长（签字）：</w:t>
      </w:r>
    </w:p>
    <w:p>
      <w:pPr>
        <w:pStyle w:val="11"/>
        <w:ind w:left="1740"/>
        <w:rPr>
          <w:lang w:eastAsia="zh-CN"/>
        </w:rPr>
      </w:pPr>
      <w:r>
        <w:rPr>
          <w:lang w:eastAsia="zh-CN"/>
        </w:rPr>
        <w:t>提交日期:</w:t>
      </w:r>
    </w:p>
    <w:p>
      <w:pPr>
        <w:pStyle w:val="11"/>
        <w:ind w:left="1740"/>
        <w:rPr>
          <w:lang w:eastAsia="zh-CN"/>
        </w:rPr>
      </w:pPr>
    </w:p>
    <w:p>
      <w:pPr>
        <w:pStyle w:val="11"/>
        <w:ind w:left="1740"/>
        <w:rPr>
          <w:lang w:eastAsia="zh-CN"/>
        </w:rPr>
      </w:pPr>
    </w:p>
    <w:p>
      <w:pPr>
        <w:pStyle w:val="11"/>
        <w:ind w:left="1740"/>
        <w:rPr>
          <w:rFonts w:hint="eastAsia"/>
          <w:lang w:eastAsia="zh-CN"/>
        </w:rPr>
      </w:pPr>
    </w:p>
    <w:p>
      <w:pPr>
        <w:pStyle w:val="11"/>
        <w:spacing w:after="260"/>
        <w:ind w:left="0"/>
        <w:jc w:val="center"/>
        <w:rPr>
          <w:lang w:eastAsia="zh-CN"/>
        </w:rPr>
      </w:pPr>
      <w:r>
        <w:rPr>
          <w:lang w:eastAsia="zh-CN"/>
        </w:rPr>
        <w:t>撰</w:t>
      </w:r>
      <w:r>
        <w:rPr>
          <w:rFonts w:hint="eastAsia"/>
          <w:lang w:eastAsia="zh-CN"/>
        </w:rPr>
        <w:t xml:space="preserve"> </w:t>
      </w:r>
      <w:r>
        <w:rPr>
          <w:lang w:eastAsia="zh-CN"/>
        </w:rPr>
        <w:t>写</w:t>
      </w:r>
      <w:r>
        <w:rPr>
          <w:rFonts w:hint="eastAsia"/>
          <w:lang w:eastAsia="zh-CN"/>
        </w:rPr>
        <w:t xml:space="preserve"> </w:t>
      </w:r>
      <w:r>
        <w:rPr>
          <w:lang w:eastAsia="zh-CN"/>
        </w:rPr>
        <w:t>说</w:t>
      </w:r>
      <w:r>
        <w:rPr>
          <w:rFonts w:hint="eastAsia"/>
          <w:lang w:eastAsia="zh-CN"/>
        </w:rPr>
        <w:t xml:space="preserve"> </w:t>
      </w:r>
      <w:r>
        <w:rPr>
          <w:lang w:eastAsia="zh-CN"/>
        </w:rPr>
        <w:t>明</w:t>
      </w:r>
    </w:p>
    <w:p>
      <w:pPr>
        <w:pStyle w:val="13"/>
        <w:tabs>
          <w:tab w:val="left" w:pos="766"/>
        </w:tabs>
        <w:spacing w:line="451" w:lineRule="exact"/>
        <w:ind w:firstLineChars="200"/>
        <w:jc w:val="both"/>
        <w:rPr>
          <w:rFonts w:ascii="仿宋" w:hAnsi="仿宋" w:eastAsia="仿宋"/>
          <w:lang w:eastAsia="zh-CN"/>
        </w:rPr>
      </w:pPr>
      <w:bookmarkStart w:id="28" w:name="bookmark28"/>
      <w:bookmarkEnd w:id="28"/>
      <w:r>
        <w:rPr>
          <w:rFonts w:hint="eastAsia" w:ascii="仿宋" w:hAnsi="仿宋" w:eastAsia="仿宋"/>
          <w:lang w:eastAsia="zh-CN"/>
        </w:rPr>
        <w:t>1</w:t>
      </w:r>
      <w:r>
        <w:rPr>
          <w:rFonts w:ascii="仿宋" w:hAnsi="仿宋" w:eastAsia="仿宋"/>
          <w:lang w:eastAsia="zh-CN"/>
        </w:rPr>
        <w:t>.格式文本中的黑体字体为规定内容，撰写时予以保留；其他字体为提示参考,撰写时不需保留。</w:t>
      </w:r>
    </w:p>
    <w:p>
      <w:pPr>
        <w:pStyle w:val="13"/>
        <w:tabs>
          <w:tab w:val="left" w:pos="779"/>
        </w:tabs>
        <w:spacing w:line="451" w:lineRule="exact"/>
        <w:ind w:firstLineChars="200"/>
        <w:jc w:val="both"/>
        <w:rPr>
          <w:rFonts w:ascii="仿宋" w:hAnsi="仿宋" w:eastAsia="仿宋"/>
          <w:lang w:eastAsia="zh-CN"/>
        </w:rPr>
      </w:pPr>
      <w:bookmarkStart w:id="29" w:name="bookmark29"/>
      <w:bookmarkEnd w:id="29"/>
      <w:r>
        <w:rPr>
          <w:rFonts w:hint="eastAsia" w:ascii="仿宋" w:hAnsi="仿宋" w:eastAsia="仿宋"/>
          <w:lang w:eastAsia="zh-CN"/>
        </w:rPr>
        <w:t>2</w:t>
      </w:r>
      <w:r>
        <w:rPr>
          <w:rFonts w:ascii="仿宋" w:hAnsi="仿宋" w:eastAsia="仿宋"/>
          <w:lang w:eastAsia="zh-CN"/>
        </w:rPr>
        <w:t>.审核评估整改方案以问题清单为主线，以整改措施为主体，有明确的预期目标。</w:t>
      </w:r>
    </w:p>
    <w:p>
      <w:pPr>
        <w:pStyle w:val="13"/>
        <w:tabs>
          <w:tab w:val="left" w:pos="786"/>
        </w:tabs>
        <w:spacing w:line="451" w:lineRule="exact"/>
        <w:ind w:firstLineChars="200"/>
        <w:jc w:val="both"/>
        <w:rPr>
          <w:rFonts w:ascii="仿宋" w:hAnsi="仿宋" w:eastAsia="仿宋"/>
          <w:lang w:eastAsia="zh-CN"/>
        </w:rPr>
        <w:sectPr>
          <w:headerReference r:id="rId7" w:type="default"/>
          <w:headerReference r:id="rId8" w:type="even"/>
          <w:type w:val="continuous"/>
          <w:pgSz w:w="9547" w:h="14568"/>
          <w:pgMar w:top="802" w:right="632" w:bottom="980" w:left="606" w:header="0" w:footer="3" w:gutter="0"/>
          <w:cols w:space="720" w:num="1"/>
          <w:docGrid w:linePitch="360" w:charSpace="0"/>
        </w:sectPr>
      </w:pPr>
      <w:bookmarkStart w:id="30" w:name="bookmark30"/>
      <w:bookmarkEnd w:id="30"/>
      <w:r>
        <w:rPr>
          <w:rFonts w:hint="eastAsia" w:ascii="仿宋" w:hAnsi="仿宋" w:eastAsia="仿宋"/>
          <w:lang w:eastAsia="zh-CN"/>
        </w:rPr>
        <w:t>3</w:t>
      </w:r>
      <w:r>
        <w:rPr>
          <w:rFonts w:ascii="仿宋" w:hAnsi="仿宋" w:eastAsia="仿宋"/>
          <w:lang w:eastAsia="zh-CN"/>
        </w:rPr>
        <w:t>.审核评估整改方案应紧扣主题，不讲虚话、套话。总字数控制在8000字以内（不含附录），总字数可在各部分中自行调节，建议的各部分控制字数供参考。</w:t>
      </w:r>
    </w:p>
    <w:p>
      <w:pPr>
        <w:pStyle w:val="7"/>
        <w:keepNext/>
        <w:keepLines/>
        <w:spacing w:before="1240" w:after="1380" w:line="240" w:lineRule="auto"/>
        <w:rPr>
          <w:lang w:eastAsia="zh-CN"/>
        </w:rPr>
      </w:pPr>
      <w:bookmarkStart w:id="31" w:name="bookmark33"/>
      <w:bookmarkStart w:id="32" w:name="bookmark32"/>
      <w:bookmarkStart w:id="33" w:name="bookmark31"/>
      <w:r>
        <w:rPr>
          <w:lang w:eastAsia="zh-CN"/>
        </w:rPr>
        <w:t>本科教育教学审核评估整改方案</w:t>
      </w:r>
      <w:bookmarkEnd w:id="31"/>
      <w:bookmarkEnd w:id="32"/>
      <w:bookmarkEnd w:id="33"/>
    </w:p>
    <w:p>
      <w:pPr>
        <w:pStyle w:val="13"/>
        <w:numPr>
          <w:ilvl w:val="0"/>
          <w:numId w:val="4"/>
        </w:numPr>
        <w:tabs>
          <w:tab w:val="left" w:pos="827"/>
        </w:tabs>
        <w:spacing w:after="160" w:line="443" w:lineRule="exact"/>
        <w:ind w:firstLine="440"/>
        <w:jc w:val="both"/>
        <w:rPr>
          <w:rFonts w:ascii="仿宋" w:hAnsi="仿宋" w:eastAsia="仿宋"/>
          <w:b/>
          <w:bCs/>
          <w:lang w:eastAsia="zh-CN"/>
        </w:rPr>
      </w:pPr>
      <w:bookmarkStart w:id="34" w:name="bookmark34"/>
      <w:bookmarkEnd w:id="34"/>
      <w:r>
        <w:rPr>
          <w:rFonts w:ascii="仿宋" w:hAnsi="仿宋" w:eastAsia="仿宋"/>
          <w:b/>
          <w:bCs/>
          <w:lang w:eastAsia="zh-CN"/>
        </w:rPr>
        <w:t>方案编制简况（500字以内）</w:t>
      </w:r>
    </w:p>
    <w:p>
      <w:pPr>
        <w:pStyle w:val="13"/>
        <w:tabs>
          <w:tab w:val="left" w:pos="963"/>
        </w:tabs>
        <w:spacing w:line="413" w:lineRule="exact"/>
        <w:ind w:firstLine="440"/>
        <w:jc w:val="both"/>
        <w:rPr>
          <w:rFonts w:ascii="仿宋" w:hAnsi="仿宋" w:eastAsia="仿宋"/>
          <w:lang w:eastAsia="zh-CN"/>
        </w:rPr>
      </w:pPr>
      <w:bookmarkStart w:id="35" w:name="bookmark35"/>
      <w:r>
        <w:rPr>
          <w:rFonts w:ascii="仿宋" w:hAnsi="仿宋" w:eastAsia="仿宋"/>
          <w:lang w:eastAsia="zh-CN"/>
        </w:rPr>
        <w:t>（</w:t>
      </w:r>
      <w:bookmarkEnd w:id="35"/>
      <w:r>
        <w:rPr>
          <w:rFonts w:ascii="仿宋" w:hAnsi="仿宋" w:eastAsia="仿宋"/>
          <w:lang w:eastAsia="zh-CN"/>
        </w:rPr>
        <w:t>1）</w:t>
      </w:r>
      <w:r>
        <w:rPr>
          <w:rFonts w:ascii="仿宋" w:hAnsi="仿宋" w:eastAsia="仿宋"/>
          <w:lang w:eastAsia="zh-CN"/>
        </w:rPr>
        <w:tab/>
      </w:r>
      <w:r>
        <w:rPr>
          <w:rFonts w:ascii="仿宋" w:hAnsi="仿宋" w:eastAsia="仿宋"/>
          <w:lang w:eastAsia="zh-CN"/>
        </w:rPr>
        <w:t>说明学校申请审核评估的时间（年、月）,学校接受专家组入校评估的时间（年、月、日一年、月、日）。</w:t>
      </w:r>
    </w:p>
    <w:p>
      <w:pPr>
        <w:pStyle w:val="13"/>
        <w:tabs>
          <w:tab w:val="left" w:pos="976"/>
        </w:tabs>
        <w:spacing w:after="260" w:line="443" w:lineRule="exact"/>
        <w:ind w:firstLine="440"/>
        <w:jc w:val="both"/>
        <w:rPr>
          <w:rFonts w:ascii="仿宋" w:hAnsi="仿宋" w:eastAsia="仿宋"/>
          <w:lang w:eastAsia="zh-CN"/>
        </w:rPr>
      </w:pPr>
      <w:bookmarkStart w:id="36" w:name="bookmark36"/>
      <w:r>
        <w:rPr>
          <w:rFonts w:ascii="仿宋" w:hAnsi="仿宋" w:eastAsia="仿宋"/>
          <w:lang w:eastAsia="zh-CN"/>
        </w:rPr>
        <w:t>（</w:t>
      </w:r>
      <w:bookmarkEnd w:id="36"/>
      <w:r>
        <w:rPr>
          <w:rFonts w:ascii="仿宋" w:hAnsi="仿宋" w:eastAsia="仿宋"/>
          <w:lang w:eastAsia="zh-CN"/>
        </w:rPr>
        <w:t>2）</w:t>
      </w:r>
      <w:r>
        <w:rPr>
          <w:rFonts w:ascii="仿宋" w:hAnsi="仿宋" w:eastAsia="仿宋"/>
          <w:lang w:eastAsia="zh-CN"/>
        </w:rPr>
        <w:tab/>
      </w:r>
      <w:r>
        <w:rPr>
          <w:rFonts w:ascii="仿宋" w:hAnsi="仿宋" w:eastAsia="仿宋"/>
          <w:lang w:eastAsia="zh-CN"/>
        </w:rPr>
        <w:t>本方案编制的主持部门、过程、批准方式。</w:t>
      </w:r>
    </w:p>
    <w:p>
      <w:pPr>
        <w:pStyle w:val="13"/>
        <w:numPr>
          <w:ilvl w:val="0"/>
          <w:numId w:val="4"/>
        </w:numPr>
        <w:tabs>
          <w:tab w:val="left" w:pos="827"/>
        </w:tabs>
        <w:spacing w:after="160" w:line="443" w:lineRule="exact"/>
        <w:ind w:firstLine="440"/>
        <w:jc w:val="both"/>
        <w:rPr>
          <w:rFonts w:ascii="仿宋" w:hAnsi="仿宋" w:eastAsia="仿宋"/>
          <w:b/>
          <w:bCs/>
          <w:lang w:eastAsia="zh-CN"/>
        </w:rPr>
      </w:pPr>
      <w:bookmarkStart w:id="37" w:name="bookmark37"/>
      <w:bookmarkEnd w:id="37"/>
      <w:r>
        <w:rPr>
          <w:rFonts w:ascii="仿宋" w:hAnsi="仿宋" w:eastAsia="仿宋"/>
          <w:b/>
          <w:bCs/>
          <w:lang w:eastAsia="zh-CN"/>
        </w:rPr>
        <w:t>问题清单</w:t>
      </w:r>
    </w:p>
    <w:p>
      <w:pPr>
        <w:pStyle w:val="13"/>
        <w:tabs>
          <w:tab w:val="left" w:pos="954"/>
        </w:tabs>
        <w:spacing w:line="443" w:lineRule="exact"/>
        <w:ind w:firstLine="440"/>
        <w:jc w:val="both"/>
        <w:rPr>
          <w:rFonts w:ascii="仿宋" w:hAnsi="仿宋" w:eastAsia="仿宋"/>
          <w:lang w:eastAsia="zh-CN"/>
        </w:rPr>
      </w:pPr>
      <w:bookmarkStart w:id="38" w:name="bookmark38"/>
      <w:r>
        <w:rPr>
          <w:rFonts w:ascii="仿宋" w:hAnsi="仿宋" w:eastAsia="仿宋"/>
          <w:lang w:eastAsia="zh-CN"/>
        </w:rPr>
        <w:t>（</w:t>
      </w:r>
      <w:bookmarkEnd w:id="38"/>
      <w:r>
        <w:rPr>
          <w:rFonts w:ascii="仿宋" w:hAnsi="仿宋" w:eastAsia="仿宋"/>
          <w:lang w:eastAsia="zh-CN"/>
        </w:rPr>
        <w:t>1）</w:t>
      </w:r>
      <w:r>
        <w:rPr>
          <w:rFonts w:ascii="仿宋" w:hAnsi="仿宋" w:eastAsia="仿宋"/>
          <w:lang w:eastAsia="zh-CN"/>
        </w:rPr>
        <w:tab/>
      </w:r>
      <w:r>
        <w:rPr>
          <w:rFonts w:ascii="仿宋" w:hAnsi="仿宋" w:eastAsia="仿宋"/>
          <w:lang w:eastAsia="zh-CN"/>
        </w:rPr>
        <w:t>自评报告、专家组审核评估报告以及专家个别交流意见提出的问题应全部列入清单，按照审核评估指标中审核重点的顺序逐项罗列。专业认证中专家提出的问题尚未整改的也应一并列入问题清单。</w:t>
      </w:r>
    </w:p>
    <w:p>
      <w:pPr>
        <w:pStyle w:val="13"/>
        <w:tabs>
          <w:tab w:val="left" w:pos="944"/>
        </w:tabs>
        <w:spacing w:line="443" w:lineRule="exact"/>
        <w:ind w:firstLine="440"/>
        <w:jc w:val="both"/>
        <w:rPr>
          <w:rFonts w:ascii="仿宋" w:hAnsi="仿宋" w:eastAsia="仿宋"/>
          <w:lang w:eastAsia="zh-CN"/>
        </w:rPr>
      </w:pPr>
      <w:bookmarkStart w:id="39" w:name="bookmark39"/>
      <w:r>
        <w:rPr>
          <w:rFonts w:ascii="仿宋" w:hAnsi="仿宋" w:eastAsia="仿宋"/>
          <w:lang w:eastAsia="zh-CN"/>
        </w:rPr>
        <w:t>（</w:t>
      </w:r>
      <w:bookmarkEnd w:id="39"/>
      <w:r>
        <w:rPr>
          <w:rFonts w:ascii="仿宋" w:hAnsi="仿宋" w:eastAsia="仿宋"/>
          <w:lang w:eastAsia="zh-CN"/>
        </w:rPr>
        <w:t>2）</w:t>
      </w:r>
      <w:r>
        <w:rPr>
          <w:rFonts w:ascii="仿宋" w:hAnsi="仿宋" w:eastAsia="仿宋"/>
          <w:lang w:eastAsia="zh-CN"/>
        </w:rPr>
        <w:tab/>
      </w:r>
      <w:r>
        <w:rPr>
          <w:rFonts w:ascii="仿宋" w:hAnsi="仿宋" w:eastAsia="仿宋"/>
          <w:lang w:eastAsia="zh-CN"/>
        </w:rPr>
        <w:t>对清单中的问题，如学校经分析不予列入整改问题清单的，应专列附录逐项说明理由。</w:t>
      </w:r>
    </w:p>
    <w:p>
      <w:pPr>
        <w:pStyle w:val="13"/>
        <w:tabs>
          <w:tab w:val="left" w:pos="981"/>
        </w:tabs>
        <w:spacing w:line="443" w:lineRule="exact"/>
        <w:ind w:firstLine="440"/>
        <w:jc w:val="both"/>
        <w:rPr>
          <w:rFonts w:ascii="仿宋" w:hAnsi="仿宋" w:eastAsia="仿宋"/>
          <w:lang w:eastAsia="zh-CN"/>
        </w:rPr>
      </w:pPr>
      <w:bookmarkStart w:id="40" w:name="bookmark40"/>
      <w:r>
        <w:rPr>
          <w:rFonts w:ascii="仿宋" w:hAnsi="仿宋" w:eastAsia="仿宋"/>
          <w:lang w:eastAsia="zh-CN"/>
        </w:rPr>
        <w:t>（</w:t>
      </w:r>
      <w:bookmarkEnd w:id="40"/>
      <w:r>
        <w:rPr>
          <w:rFonts w:ascii="仿宋" w:hAnsi="仿宋" w:eastAsia="仿宋"/>
          <w:lang w:eastAsia="zh-CN"/>
        </w:rPr>
        <w:t>3）</w:t>
      </w:r>
      <w:r>
        <w:rPr>
          <w:rFonts w:ascii="仿宋" w:hAnsi="仿宋" w:eastAsia="仿宋"/>
          <w:lang w:eastAsia="zh-CN"/>
        </w:rPr>
        <w:tab/>
      </w:r>
      <w:r>
        <w:rPr>
          <w:rFonts w:ascii="仿宋" w:hAnsi="仿宋" w:eastAsia="仿宋"/>
          <w:lang w:eastAsia="zh-CN"/>
        </w:rPr>
        <w:t>清单中每项问题，包含但不限于如下内容：</w:t>
      </w:r>
    </w:p>
    <w:p>
      <w:pPr>
        <w:pStyle w:val="13"/>
        <w:numPr>
          <w:ilvl w:val="0"/>
          <w:numId w:val="5"/>
        </w:numPr>
        <w:tabs>
          <w:tab w:val="left" w:pos="851"/>
        </w:tabs>
        <w:spacing w:line="443" w:lineRule="exact"/>
        <w:ind w:firstLine="440"/>
        <w:jc w:val="both"/>
        <w:rPr>
          <w:rFonts w:ascii="仿宋" w:hAnsi="仿宋" w:eastAsia="仿宋"/>
          <w:lang w:eastAsia="zh-CN"/>
        </w:rPr>
      </w:pPr>
      <w:bookmarkStart w:id="41" w:name="bookmark41"/>
      <w:bookmarkEnd w:id="41"/>
      <w:r>
        <w:rPr>
          <w:rFonts w:ascii="仿宋" w:hAnsi="仿宋" w:eastAsia="仿宋"/>
          <w:lang w:eastAsia="zh-CN"/>
        </w:rPr>
        <w:t>问题顺序号及对应的审核指标及审核重点序号；</w:t>
      </w:r>
    </w:p>
    <w:p>
      <w:pPr>
        <w:pStyle w:val="13"/>
        <w:numPr>
          <w:ilvl w:val="0"/>
          <w:numId w:val="5"/>
        </w:numPr>
        <w:tabs>
          <w:tab w:val="left" w:pos="831"/>
        </w:tabs>
        <w:spacing w:after="380" w:line="443" w:lineRule="exact"/>
        <w:ind w:firstLine="420"/>
        <w:jc w:val="both"/>
        <w:rPr>
          <w:rFonts w:ascii="仿宋" w:hAnsi="仿宋" w:eastAsia="仿宋"/>
          <w:lang w:eastAsia="zh-CN"/>
        </w:rPr>
      </w:pPr>
      <w:bookmarkStart w:id="42" w:name="bookmark42"/>
      <w:bookmarkEnd w:id="42"/>
      <w:r>
        <w:rPr>
          <w:rFonts w:ascii="仿宋" w:hAnsi="仿宋" w:eastAsia="仿宋"/>
          <w:lang w:eastAsia="zh-CN"/>
        </w:rPr>
        <w:t>问题来源（如自评报告、专狗审核婀古报告、专家个别意见、专业认证或其他）。</w:t>
      </w:r>
    </w:p>
    <w:p>
      <w:pPr>
        <w:pStyle w:val="15"/>
        <w:jc w:val="center"/>
        <w:rPr>
          <w:rFonts w:ascii="仿宋" w:hAnsi="仿宋" w:eastAsia="仿宋"/>
          <w:lang w:eastAsia="zh-CN"/>
        </w:rPr>
      </w:pPr>
      <w:r>
        <w:rPr>
          <w:rFonts w:ascii="仿宋" w:hAnsi="仿宋" w:eastAsia="仿宋"/>
          <w:lang w:eastAsia="zh-CN"/>
        </w:rPr>
        <w:t>问题清单表（参考格式）</w:t>
      </w:r>
    </w:p>
    <w:tbl>
      <w:tblPr>
        <w:tblStyle w:val="4"/>
        <w:tblW w:w="0" w:type="auto"/>
        <w:jc w:val="center"/>
        <w:tblLayout w:type="fixed"/>
        <w:tblCellMar>
          <w:top w:w="0" w:type="dxa"/>
          <w:left w:w="10" w:type="dxa"/>
          <w:bottom w:w="0" w:type="dxa"/>
          <w:right w:w="10" w:type="dxa"/>
        </w:tblCellMar>
      </w:tblPr>
      <w:tblGrid>
        <w:gridCol w:w="1022"/>
        <w:gridCol w:w="1354"/>
        <w:gridCol w:w="1397"/>
        <w:gridCol w:w="1714"/>
        <w:gridCol w:w="1392"/>
        <w:gridCol w:w="1325"/>
      </w:tblGrid>
      <w:tr>
        <w:tblPrEx>
          <w:tblCellMar>
            <w:top w:w="0" w:type="dxa"/>
            <w:left w:w="10" w:type="dxa"/>
            <w:bottom w:w="0" w:type="dxa"/>
            <w:right w:w="10" w:type="dxa"/>
          </w:tblCellMar>
        </w:tblPrEx>
        <w:trPr>
          <w:trHeight w:val="427" w:hRule="exact"/>
          <w:jc w:val="center"/>
        </w:trPr>
        <w:tc>
          <w:tcPr>
            <w:tcW w:w="1022" w:type="dxa"/>
            <w:vMerge w:val="restart"/>
            <w:tcBorders>
              <w:top w:val="single" w:color="auto" w:sz="4" w:space="0"/>
              <w:left w:val="single" w:color="auto" w:sz="4" w:space="0"/>
            </w:tcBorders>
            <w:shd w:val="clear" w:color="auto" w:fill="FFFFFF"/>
            <w:vAlign w:val="center"/>
          </w:tcPr>
          <w:p>
            <w:pPr>
              <w:pStyle w:val="17"/>
              <w:spacing w:line="240" w:lineRule="auto"/>
              <w:ind w:firstLine="0"/>
              <w:jc w:val="center"/>
              <w:rPr>
                <w:rFonts w:ascii="仿宋" w:hAnsi="仿宋" w:eastAsia="仿宋"/>
                <w:sz w:val="16"/>
                <w:szCs w:val="16"/>
              </w:rPr>
            </w:pPr>
            <w:r>
              <w:rPr>
                <w:rFonts w:ascii="仿宋" w:hAnsi="仿宋" w:eastAsia="仿宋"/>
                <w:sz w:val="16"/>
                <w:szCs w:val="16"/>
              </w:rPr>
              <w:t>问题序P</w:t>
            </w:r>
          </w:p>
        </w:tc>
        <w:tc>
          <w:tcPr>
            <w:tcW w:w="2751" w:type="dxa"/>
            <w:gridSpan w:val="2"/>
            <w:tcBorders>
              <w:top w:val="single" w:color="auto" w:sz="4" w:space="0"/>
              <w:left w:val="single" w:color="auto" w:sz="4" w:space="0"/>
            </w:tcBorders>
            <w:shd w:val="clear" w:color="auto" w:fill="FFFFFF"/>
            <w:vAlign w:val="center"/>
          </w:tcPr>
          <w:p>
            <w:pPr>
              <w:pStyle w:val="17"/>
              <w:spacing w:line="240" w:lineRule="auto"/>
              <w:ind w:firstLine="0"/>
              <w:jc w:val="center"/>
              <w:rPr>
                <w:rFonts w:ascii="仿宋" w:hAnsi="仿宋" w:eastAsia="仿宋"/>
                <w:sz w:val="16"/>
                <w:szCs w:val="16"/>
              </w:rPr>
            </w:pPr>
            <w:r>
              <w:rPr>
                <w:rFonts w:ascii="仿宋" w:hAnsi="仿宋" w:eastAsia="仿宋"/>
                <w:sz w:val="16"/>
                <w:szCs w:val="16"/>
              </w:rPr>
              <w:t>对应审核指标</w:t>
            </w:r>
          </w:p>
        </w:tc>
        <w:tc>
          <w:tcPr>
            <w:tcW w:w="1714" w:type="dxa"/>
            <w:vMerge w:val="restart"/>
            <w:tcBorders>
              <w:top w:val="single" w:color="auto" w:sz="4" w:space="0"/>
              <w:left w:val="single" w:color="auto" w:sz="4" w:space="0"/>
            </w:tcBorders>
            <w:shd w:val="clear" w:color="auto" w:fill="FFFFFF"/>
            <w:vAlign w:val="center"/>
          </w:tcPr>
          <w:p>
            <w:pPr>
              <w:pStyle w:val="17"/>
              <w:spacing w:line="240" w:lineRule="auto"/>
              <w:ind w:firstLine="0"/>
              <w:jc w:val="center"/>
              <w:rPr>
                <w:rFonts w:ascii="仿宋" w:hAnsi="仿宋" w:eastAsia="仿宋"/>
                <w:sz w:val="16"/>
                <w:szCs w:val="16"/>
              </w:rPr>
            </w:pPr>
            <w:r>
              <w:rPr>
                <w:rFonts w:ascii="仿宋" w:hAnsi="仿宋" w:eastAsia="仿宋"/>
                <w:sz w:val="16"/>
                <w:szCs w:val="16"/>
              </w:rPr>
              <w:t>问题简明表述</w:t>
            </w:r>
          </w:p>
        </w:tc>
        <w:tc>
          <w:tcPr>
            <w:tcW w:w="1392" w:type="dxa"/>
            <w:vMerge w:val="restart"/>
            <w:tcBorders>
              <w:top w:val="single" w:color="auto" w:sz="4" w:space="0"/>
              <w:left w:val="single" w:color="auto" w:sz="4" w:space="0"/>
            </w:tcBorders>
            <w:shd w:val="clear" w:color="auto" w:fill="FFFFFF"/>
            <w:vAlign w:val="center"/>
          </w:tcPr>
          <w:p>
            <w:pPr>
              <w:pStyle w:val="17"/>
              <w:spacing w:line="240" w:lineRule="auto"/>
              <w:ind w:firstLine="0"/>
              <w:jc w:val="center"/>
              <w:rPr>
                <w:rFonts w:ascii="仿宋" w:hAnsi="仿宋" w:eastAsia="仿宋"/>
                <w:sz w:val="16"/>
                <w:szCs w:val="16"/>
              </w:rPr>
            </w:pPr>
            <w:r>
              <w:rPr>
                <w:rFonts w:ascii="仿宋" w:hAnsi="仿宋" w:eastAsia="仿宋"/>
                <w:sz w:val="16"/>
                <w:szCs w:val="16"/>
              </w:rPr>
              <w:t>问题来源</w:t>
            </w:r>
          </w:p>
        </w:tc>
        <w:tc>
          <w:tcPr>
            <w:tcW w:w="1325" w:type="dxa"/>
            <w:vMerge w:val="restart"/>
            <w:tcBorders>
              <w:top w:val="single" w:color="auto" w:sz="4" w:space="0"/>
              <w:left w:val="single" w:color="auto" w:sz="4" w:space="0"/>
              <w:right w:val="single" w:color="auto" w:sz="4" w:space="0"/>
            </w:tcBorders>
            <w:shd w:val="clear" w:color="auto" w:fill="FFFFFF"/>
            <w:vAlign w:val="center"/>
          </w:tcPr>
          <w:p>
            <w:pPr>
              <w:pStyle w:val="17"/>
              <w:spacing w:line="240" w:lineRule="auto"/>
              <w:ind w:firstLine="0"/>
              <w:rPr>
                <w:rFonts w:ascii="仿宋" w:hAnsi="仿宋" w:eastAsia="仿宋"/>
                <w:sz w:val="16"/>
                <w:szCs w:val="16"/>
              </w:rPr>
            </w:pPr>
            <w:r>
              <w:rPr>
                <w:rFonts w:ascii="仿宋" w:hAnsi="仿宋" w:eastAsia="仿宋"/>
                <w:sz w:val="16"/>
                <w:szCs w:val="16"/>
              </w:rPr>
              <w:t>是否纳入整改</w:t>
            </w:r>
          </w:p>
        </w:tc>
      </w:tr>
      <w:tr>
        <w:tblPrEx>
          <w:tblCellMar>
            <w:top w:w="0" w:type="dxa"/>
            <w:left w:w="10" w:type="dxa"/>
            <w:bottom w:w="0" w:type="dxa"/>
            <w:right w:w="10" w:type="dxa"/>
          </w:tblCellMar>
        </w:tblPrEx>
        <w:trPr>
          <w:trHeight w:val="403" w:hRule="exact"/>
          <w:jc w:val="center"/>
        </w:trPr>
        <w:tc>
          <w:tcPr>
            <w:tcW w:w="1022" w:type="dxa"/>
            <w:vMerge w:val="continue"/>
            <w:tcBorders>
              <w:left w:val="single" w:color="auto" w:sz="4" w:space="0"/>
            </w:tcBorders>
            <w:shd w:val="clear" w:color="auto" w:fill="FFFFFF"/>
            <w:vAlign w:val="center"/>
          </w:tcPr>
          <w:p>
            <w:pPr>
              <w:rPr>
                <w:rFonts w:ascii="仿宋" w:hAnsi="仿宋" w:eastAsia="仿宋"/>
              </w:rPr>
            </w:pPr>
          </w:p>
        </w:tc>
        <w:tc>
          <w:tcPr>
            <w:tcW w:w="1354" w:type="dxa"/>
            <w:tcBorders>
              <w:top w:val="single" w:color="auto" w:sz="4" w:space="0"/>
              <w:left w:val="single" w:color="auto" w:sz="4" w:space="0"/>
            </w:tcBorders>
            <w:shd w:val="clear" w:color="auto" w:fill="FFFFFF"/>
            <w:vAlign w:val="center"/>
          </w:tcPr>
          <w:p>
            <w:pPr>
              <w:pStyle w:val="17"/>
              <w:spacing w:line="240" w:lineRule="auto"/>
              <w:ind w:firstLine="0"/>
              <w:jc w:val="center"/>
              <w:rPr>
                <w:rFonts w:ascii="仿宋" w:hAnsi="仿宋" w:eastAsia="仿宋"/>
                <w:sz w:val="16"/>
                <w:szCs w:val="16"/>
              </w:rPr>
            </w:pPr>
            <w:r>
              <w:rPr>
                <w:rFonts w:ascii="仿宋" w:hAnsi="仿宋" w:eastAsia="仿宋"/>
                <w:sz w:val="16"/>
                <w:szCs w:val="16"/>
              </w:rPr>
              <w:t>一级指标</w:t>
            </w:r>
          </w:p>
        </w:tc>
        <w:tc>
          <w:tcPr>
            <w:tcW w:w="1397" w:type="dxa"/>
            <w:tcBorders>
              <w:top w:val="single" w:color="auto" w:sz="4" w:space="0"/>
              <w:left w:val="single" w:color="auto" w:sz="4" w:space="0"/>
            </w:tcBorders>
            <w:shd w:val="clear" w:color="auto" w:fill="FFFFFF"/>
            <w:vAlign w:val="center"/>
          </w:tcPr>
          <w:p>
            <w:pPr>
              <w:pStyle w:val="17"/>
              <w:spacing w:line="240" w:lineRule="auto"/>
              <w:ind w:firstLine="0"/>
              <w:jc w:val="center"/>
              <w:rPr>
                <w:rFonts w:ascii="仿宋" w:hAnsi="仿宋" w:eastAsia="仿宋"/>
                <w:sz w:val="16"/>
                <w:szCs w:val="16"/>
              </w:rPr>
            </w:pPr>
            <w:r>
              <w:rPr>
                <w:rFonts w:ascii="仿宋" w:hAnsi="仿宋" w:eastAsia="仿宋"/>
                <w:sz w:val="16"/>
                <w:szCs w:val="16"/>
              </w:rPr>
              <w:t>二级指标</w:t>
            </w:r>
          </w:p>
        </w:tc>
        <w:tc>
          <w:tcPr>
            <w:tcW w:w="1714" w:type="dxa"/>
            <w:vMerge w:val="continue"/>
            <w:tcBorders>
              <w:left w:val="single" w:color="auto" w:sz="4" w:space="0"/>
            </w:tcBorders>
            <w:shd w:val="clear" w:color="auto" w:fill="FFFFFF"/>
            <w:vAlign w:val="center"/>
          </w:tcPr>
          <w:p>
            <w:pPr>
              <w:rPr>
                <w:rFonts w:ascii="仿宋" w:hAnsi="仿宋" w:eastAsia="仿宋"/>
              </w:rPr>
            </w:pPr>
          </w:p>
        </w:tc>
        <w:tc>
          <w:tcPr>
            <w:tcW w:w="1392" w:type="dxa"/>
            <w:vMerge w:val="continue"/>
            <w:tcBorders>
              <w:left w:val="single" w:color="auto" w:sz="4" w:space="0"/>
            </w:tcBorders>
            <w:shd w:val="clear" w:color="auto" w:fill="FFFFFF"/>
            <w:vAlign w:val="center"/>
          </w:tcPr>
          <w:p>
            <w:pPr>
              <w:rPr>
                <w:rFonts w:ascii="仿宋" w:hAnsi="仿宋" w:eastAsia="仿宋"/>
              </w:rPr>
            </w:pPr>
          </w:p>
        </w:tc>
        <w:tc>
          <w:tcPr>
            <w:tcW w:w="1325" w:type="dxa"/>
            <w:vMerge w:val="continue"/>
            <w:tcBorders>
              <w:left w:val="single" w:color="auto" w:sz="4" w:space="0"/>
              <w:right w:val="single" w:color="auto" w:sz="4" w:space="0"/>
            </w:tcBorders>
            <w:shd w:val="clear" w:color="auto" w:fill="FFFFFF"/>
            <w:vAlign w:val="center"/>
          </w:tcPr>
          <w:p>
            <w:pPr>
              <w:rPr>
                <w:rFonts w:ascii="仿宋" w:hAnsi="仿宋" w:eastAsia="仿宋"/>
              </w:rPr>
            </w:pPr>
          </w:p>
        </w:tc>
      </w:tr>
      <w:tr>
        <w:tblPrEx>
          <w:tblCellMar>
            <w:top w:w="0" w:type="dxa"/>
            <w:left w:w="10" w:type="dxa"/>
            <w:bottom w:w="0" w:type="dxa"/>
            <w:right w:w="10" w:type="dxa"/>
          </w:tblCellMar>
        </w:tblPrEx>
        <w:trPr>
          <w:trHeight w:val="350" w:hRule="exact"/>
          <w:jc w:val="center"/>
        </w:trPr>
        <w:tc>
          <w:tcPr>
            <w:tcW w:w="1022" w:type="dxa"/>
            <w:tcBorders>
              <w:top w:val="single" w:color="auto" w:sz="4" w:space="0"/>
              <w:left w:val="single" w:color="auto" w:sz="4" w:space="0"/>
            </w:tcBorders>
            <w:shd w:val="clear" w:color="auto" w:fill="FFFFFF"/>
          </w:tcPr>
          <w:p>
            <w:pPr>
              <w:rPr>
                <w:rFonts w:ascii="仿宋" w:hAnsi="仿宋" w:eastAsia="仿宋"/>
                <w:sz w:val="10"/>
                <w:szCs w:val="10"/>
              </w:rPr>
            </w:pPr>
          </w:p>
        </w:tc>
        <w:tc>
          <w:tcPr>
            <w:tcW w:w="1354" w:type="dxa"/>
            <w:tcBorders>
              <w:top w:val="single" w:color="auto" w:sz="4" w:space="0"/>
              <w:left w:val="single" w:color="auto" w:sz="4" w:space="0"/>
            </w:tcBorders>
            <w:shd w:val="clear" w:color="auto" w:fill="FFFFFF"/>
          </w:tcPr>
          <w:p>
            <w:pPr>
              <w:rPr>
                <w:rFonts w:ascii="仿宋" w:hAnsi="仿宋" w:eastAsia="仿宋"/>
                <w:sz w:val="10"/>
                <w:szCs w:val="10"/>
              </w:rPr>
            </w:pPr>
          </w:p>
        </w:tc>
        <w:tc>
          <w:tcPr>
            <w:tcW w:w="1397" w:type="dxa"/>
            <w:tcBorders>
              <w:top w:val="single" w:color="auto" w:sz="4" w:space="0"/>
              <w:left w:val="single" w:color="auto" w:sz="4" w:space="0"/>
            </w:tcBorders>
            <w:shd w:val="clear" w:color="auto" w:fill="FFFFFF"/>
          </w:tcPr>
          <w:p>
            <w:pPr>
              <w:rPr>
                <w:rFonts w:ascii="仿宋" w:hAnsi="仿宋" w:eastAsia="仿宋"/>
                <w:sz w:val="10"/>
                <w:szCs w:val="10"/>
              </w:rPr>
            </w:pPr>
          </w:p>
        </w:tc>
        <w:tc>
          <w:tcPr>
            <w:tcW w:w="1714" w:type="dxa"/>
            <w:tcBorders>
              <w:top w:val="single" w:color="auto" w:sz="4" w:space="0"/>
              <w:left w:val="single" w:color="auto" w:sz="4" w:space="0"/>
            </w:tcBorders>
            <w:shd w:val="clear" w:color="auto" w:fill="FFFFFF"/>
          </w:tcPr>
          <w:p>
            <w:pPr>
              <w:rPr>
                <w:rFonts w:ascii="仿宋" w:hAnsi="仿宋" w:eastAsia="仿宋"/>
                <w:sz w:val="10"/>
                <w:szCs w:val="10"/>
              </w:rPr>
            </w:pPr>
          </w:p>
        </w:tc>
        <w:tc>
          <w:tcPr>
            <w:tcW w:w="1392" w:type="dxa"/>
            <w:tcBorders>
              <w:top w:val="single" w:color="auto" w:sz="4" w:space="0"/>
              <w:left w:val="single" w:color="auto" w:sz="4" w:space="0"/>
            </w:tcBorders>
            <w:shd w:val="clear" w:color="auto" w:fill="FFFFFF"/>
          </w:tcPr>
          <w:p>
            <w:pPr>
              <w:rPr>
                <w:rFonts w:ascii="仿宋" w:hAnsi="仿宋" w:eastAsia="仿宋"/>
                <w:sz w:val="10"/>
                <w:szCs w:val="10"/>
              </w:rPr>
            </w:pPr>
          </w:p>
        </w:tc>
        <w:tc>
          <w:tcPr>
            <w:tcW w:w="1325" w:type="dxa"/>
            <w:tcBorders>
              <w:top w:val="single" w:color="auto" w:sz="4" w:space="0"/>
              <w:left w:val="single" w:color="auto" w:sz="4" w:space="0"/>
              <w:right w:val="single" w:color="auto" w:sz="4" w:space="0"/>
            </w:tcBorders>
            <w:shd w:val="clear" w:color="auto" w:fill="FFFFFF"/>
          </w:tcPr>
          <w:p>
            <w:pPr>
              <w:rPr>
                <w:rFonts w:ascii="仿宋" w:hAnsi="仿宋" w:eastAsia="仿宋"/>
                <w:sz w:val="10"/>
                <w:szCs w:val="10"/>
              </w:rPr>
            </w:pPr>
          </w:p>
        </w:tc>
      </w:tr>
      <w:tr>
        <w:tblPrEx>
          <w:tblCellMar>
            <w:top w:w="0" w:type="dxa"/>
            <w:left w:w="10" w:type="dxa"/>
            <w:bottom w:w="0" w:type="dxa"/>
            <w:right w:w="10" w:type="dxa"/>
          </w:tblCellMar>
        </w:tblPrEx>
        <w:trPr>
          <w:trHeight w:val="365" w:hRule="exact"/>
          <w:jc w:val="center"/>
        </w:trPr>
        <w:tc>
          <w:tcPr>
            <w:tcW w:w="1022" w:type="dxa"/>
            <w:tcBorders>
              <w:top w:val="single" w:color="auto" w:sz="4" w:space="0"/>
              <w:left w:val="single" w:color="auto" w:sz="4" w:space="0"/>
              <w:bottom w:val="single" w:color="auto" w:sz="4" w:space="0"/>
            </w:tcBorders>
            <w:shd w:val="clear" w:color="auto" w:fill="FFFFFF"/>
          </w:tcPr>
          <w:p>
            <w:pPr>
              <w:rPr>
                <w:rFonts w:ascii="仿宋" w:hAnsi="仿宋" w:eastAsia="仿宋"/>
                <w:sz w:val="10"/>
                <w:szCs w:val="10"/>
              </w:rPr>
            </w:pPr>
          </w:p>
        </w:tc>
        <w:tc>
          <w:tcPr>
            <w:tcW w:w="1354" w:type="dxa"/>
            <w:tcBorders>
              <w:top w:val="single" w:color="auto" w:sz="4" w:space="0"/>
              <w:left w:val="single" w:color="auto" w:sz="4" w:space="0"/>
              <w:bottom w:val="single" w:color="auto" w:sz="4" w:space="0"/>
            </w:tcBorders>
            <w:shd w:val="clear" w:color="auto" w:fill="FFFFFF"/>
          </w:tcPr>
          <w:p>
            <w:pPr>
              <w:rPr>
                <w:rFonts w:ascii="仿宋" w:hAnsi="仿宋" w:eastAsia="仿宋"/>
                <w:sz w:val="10"/>
                <w:szCs w:val="10"/>
              </w:rPr>
            </w:pPr>
          </w:p>
        </w:tc>
        <w:tc>
          <w:tcPr>
            <w:tcW w:w="1397" w:type="dxa"/>
            <w:tcBorders>
              <w:top w:val="single" w:color="auto" w:sz="4" w:space="0"/>
              <w:left w:val="single" w:color="auto" w:sz="4" w:space="0"/>
              <w:bottom w:val="single" w:color="auto" w:sz="4" w:space="0"/>
            </w:tcBorders>
            <w:shd w:val="clear" w:color="auto" w:fill="FFFFFF"/>
          </w:tcPr>
          <w:p>
            <w:pPr>
              <w:rPr>
                <w:rFonts w:ascii="仿宋" w:hAnsi="仿宋" w:eastAsia="仿宋"/>
                <w:sz w:val="10"/>
                <w:szCs w:val="10"/>
              </w:rPr>
            </w:pPr>
          </w:p>
        </w:tc>
        <w:tc>
          <w:tcPr>
            <w:tcW w:w="1714" w:type="dxa"/>
            <w:tcBorders>
              <w:top w:val="single" w:color="auto" w:sz="4" w:space="0"/>
              <w:left w:val="single" w:color="auto" w:sz="4" w:space="0"/>
              <w:bottom w:val="single" w:color="auto" w:sz="4" w:space="0"/>
            </w:tcBorders>
            <w:shd w:val="clear" w:color="auto" w:fill="FFFFFF"/>
          </w:tcPr>
          <w:p>
            <w:pPr>
              <w:rPr>
                <w:rFonts w:ascii="仿宋" w:hAnsi="仿宋" w:eastAsia="仿宋"/>
                <w:sz w:val="10"/>
                <w:szCs w:val="10"/>
              </w:rPr>
            </w:pPr>
          </w:p>
        </w:tc>
        <w:tc>
          <w:tcPr>
            <w:tcW w:w="1392" w:type="dxa"/>
            <w:tcBorders>
              <w:top w:val="single" w:color="auto" w:sz="4" w:space="0"/>
              <w:left w:val="single" w:color="auto" w:sz="4" w:space="0"/>
              <w:bottom w:val="single" w:color="auto" w:sz="4" w:space="0"/>
            </w:tcBorders>
            <w:shd w:val="clear" w:color="auto" w:fill="FFFFFF"/>
          </w:tcPr>
          <w:p>
            <w:pPr>
              <w:rPr>
                <w:rFonts w:ascii="仿宋" w:hAnsi="仿宋" w:eastAsia="仿宋"/>
                <w:sz w:val="10"/>
                <w:szCs w:val="10"/>
              </w:rPr>
            </w:pPr>
          </w:p>
        </w:tc>
        <w:tc>
          <w:tcPr>
            <w:tcW w:w="1325"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10"/>
                <w:szCs w:val="10"/>
              </w:rPr>
            </w:pPr>
          </w:p>
        </w:tc>
      </w:tr>
    </w:tbl>
    <w:p>
      <w:pPr>
        <w:pStyle w:val="15"/>
        <w:spacing w:line="274" w:lineRule="exact"/>
        <w:rPr>
          <w:rFonts w:ascii="仿宋" w:hAnsi="仿宋" w:eastAsia="仿宋"/>
          <w:lang w:eastAsia="zh-CN"/>
        </w:rPr>
      </w:pPr>
      <w:r>
        <w:rPr>
          <w:rFonts w:ascii="仿宋" w:hAnsi="仿宋" w:eastAsia="仿宋"/>
          <w:lang w:eastAsia="zh-CN"/>
        </w:rPr>
        <w:t>说明：</w:t>
      </w:r>
      <w:r>
        <w:rPr>
          <w:rFonts w:ascii="仿宋" w:hAnsi="仿宋" w:eastAsia="仿宋" w:cs="Times New Roman"/>
          <w:sz w:val="17"/>
          <w:szCs w:val="17"/>
          <w:lang w:eastAsia="zh-CN"/>
        </w:rPr>
        <w:t>1.</w:t>
      </w:r>
      <w:r>
        <w:rPr>
          <w:rFonts w:ascii="仿宋" w:hAnsi="仿宋" w:eastAsia="仿宋"/>
          <w:lang w:eastAsia="zh-CN"/>
        </w:rPr>
        <w:t>如有部分问题不符合学校实际情况，可不纳入整改问题清单，在“是否纳入整改项”中标注"否”,并予以说明。</w:t>
      </w:r>
    </w:p>
    <w:p>
      <w:pPr>
        <w:spacing w:after="59" w:line="1" w:lineRule="exact"/>
        <w:rPr>
          <w:rFonts w:ascii="仿宋" w:hAnsi="仿宋" w:eastAsia="仿宋"/>
          <w:lang w:eastAsia="zh-CN"/>
        </w:rPr>
      </w:pPr>
    </w:p>
    <w:p>
      <w:pPr>
        <w:pStyle w:val="19"/>
        <w:spacing w:after="160" w:line="240" w:lineRule="auto"/>
        <w:ind w:firstLine="940"/>
        <w:jc w:val="both"/>
        <w:rPr>
          <w:rFonts w:ascii="仿宋" w:hAnsi="仿宋" w:eastAsia="仿宋"/>
          <w:lang w:eastAsia="zh-CN"/>
        </w:rPr>
      </w:pPr>
      <w:r>
        <w:rPr>
          <w:rFonts w:ascii="仿宋" w:hAnsi="仿宋" w:eastAsia="仿宋" w:cs="Times New Roman"/>
          <w:sz w:val="17"/>
          <w:szCs w:val="17"/>
          <w:lang w:eastAsia="zh-CN"/>
        </w:rPr>
        <w:t>2</w:t>
      </w:r>
      <w:r>
        <w:rPr>
          <w:rFonts w:ascii="仿宋" w:hAnsi="仿宋" w:eastAsia="仿宋"/>
          <w:lang w:eastAsia="zh-CN"/>
        </w:rPr>
        <w:t>.问题序号的前后排列应与审核指标的前后排列一致。</w:t>
      </w:r>
    </w:p>
    <w:p>
      <w:pPr>
        <w:pStyle w:val="13"/>
        <w:numPr>
          <w:ilvl w:val="0"/>
          <w:numId w:val="4"/>
        </w:numPr>
        <w:tabs>
          <w:tab w:val="left" w:pos="813"/>
        </w:tabs>
        <w:spacing w:after="160" w:line="443" w:lineRule="exact"/>
        <w:ind w:firstLine="440"/>
        <w:jc w:val="both"/>
        <w:rPr>
          <w:rFonts w:ascii="仿宋" w:hAnsi="仿宋" w:eastAsia="仿宋"/>
          <w:b/>
          <w:bCs/>
          <w:lang w:eastAsia="zh-CN"/>
        </w:rPr>
      </w:pPr>
      <w:bookmarkStart w:id="43" w:name="bookmark43"/>
      <w:bookmarkEnd w:id="43"/>
      <w:r>
        <w:rPr>
          <w:rFonts w:ascii="仿宋" w:hAnsi="仿宋" w:eastAsia="仿宋"/>
          <w:b/>
          <w:bCs/>
          <w:lang w:eastAsia="zh-CN"/>
        </w:rPr>
        <w:t>整改目标（800字以内）</w:t>
      </w:r>
    </w:p>
    <w:p>
      <w:pPr>
        <w:pStyle w:val="13"/>
        <w:spacing w:after="260" w:line="438" w:lineRule="exact"/>
        <w:ind w:firstLine="440"/>
        <w:jc w:val="both"/>
        <w:rPr>
          <w:rFonts w:ascii="仿宋" w:hAnsi="仿宋" w:eastAsia="仿宋"/>
          <w:lang w:eastAsia="zh-CN"/>
        </w:rPr>
      </w:pPr>
      <w:r>
        <w:rPr>
          <w:rFonts w:ascii="仿宋" w:hAnsi="仿宋" w:eastAsia="仿宋"/>
          <w:lang w:eastAsia="zh-CN"/>
        </w:rPr>
        <w:t>分别陈述学校预期达成的目标和分阶段预期达成的目标。</w:t>
      </w:r>
    </w:p>
    <w:p>
      <w:pPr>
        <w:pStyle w:val="13"/>
        <w:numPr>
          <w:ilvl w:val="0"/>
          <w:numId w:val="4"/>
        </w:numPr>
        <w:tabs>
          <w:tab w:val="left" w:pos="813"/>
        </w:tabs>
        <w:spacing w:after="160" w:line="443" w:lineRule="exact"/>
        <w:ind w:firstLine="440"/>
        <w:jc w:val="both"/>
        <w:rPr>
          <w:rFonts w:ascii="仿宋" w:hAnsi="仿宋" w:eastAsia="仿宋"/>
          <w:b/>
          <w:bCs/>
          <w:lang w:eastAsia="zh-CN"/>
        </w:rPr>
      </w:pPr>
      <w:bookmarkStart w:id="44" w:name="bookmark44"/>
      <w:bookmarkEnd w:id="44"/>
      <w:r>
        <w:rPr>
          <w:rFonts w:ascii="仿宋" w:hAnsi="仿宋" w:eastAsia="仿宋"/>
          <w:b/>
          <w:bCs/>
          <w:lang w:eastAsia="zh-CN"/>
        </w:rPr>
        <w:t>整改措施、分工、进度安排和成效预期</w:t>
      </w:r>
    </w:p>
    <w:p>
      <w:pPr>
        <w:pStyle w:val="13"/>
        <w:spacing w:line="438" w:lineRule="exact"/>
        <w:ind w:firstLine="440"/>
        <w:jc w:val="both"/>
        <w:rPr>
          <w:rFonts w:ascii="仿宋" w:hAnsi="仿宋" w:eastAsia="仿宋"/>
          <w:lang w:eastAsia="zh-CN"/>
        </w:rPr>
      </w:pPr>
      <w:r>
        <w:rPr>
          <w:rFonts w:ascii="仿宋" w:hAnsi="仿宋" w:eastAsia="仿宋"/>
          <w:lang w:eastAsia="zh-CN"/>
        </w:rPr>
        <w:t>按问题清单顺序，逐项撰写。每项包含但不限于以下内容：</w:t>
      </w:r>
    </w:p>
    <w:p>
      <w:pPr>
        <w:pStyle w:val="13"/>
        <w:numPr>
          <w:ilvl w:val="0"/>
          <w:numId w:val="6"/>
        </w:numPr>
        <w:tabs>
          <w:tab w:val="left" w:pos="838"/>
        </w:tabs>
        <w:spacing w:line="438" w:lineRule="exact"/>
        <w:ind w:firstLine="440"/>
        <w:jc w:val="both"/>
        <w:rPr>
          <w:rFonts w:ascii="仿宋" w:hAnsi="仿宋" w:eastAsia="仿宋"/>
          <w:lang w:eastAsia="zh-CN"/>
        </w:rPr>
      </w:pPr>
      <w:bookmarkStart w:id="45" w:name="bookmark45"/>
      <w:bookmarkEnd w:id="45"/>
      <w:r>
        <w:rPr>
          <w:rFonts w:ascii="仿宋" w:hAnsi="仿宋" w:eastAsia="仿宋"/>
          <w:lang w:eastAsia="zh-CN"/>
        </w:rPr>
        <w:t>简要分析问题存在的原因（如主观认识、组织方式、落实责任、客观条件、资源配置、政策限制等）；</w:t>
      </w:r>
    </w:p>
    <w:p>
      <w:pPr>
        <w:pStyle w:val="13"/>
        <w:numPr>
          <w:ilvl w:val="0"/>
          <w:numId w:val="6"/>
        </w:numPr>
        <w:tabs>
          <w:tab w:val="left" w:pos="848"/>
        </w:tabs>
        <w:spacing w:line="438" w:lineRule="exact"/>
        <w:ind w:firstLine="440"/>
        <w:jc w:val="both"/>
        <w:rPr>
          <w:rFonts w:ascii="仿宋" w:hAnsi="仿宋" w:eastAsia="仿宋"/>
          <w:lang w:eastAsia="zh-CN"/>
        </w:rPr>
      </w:pPr>
      <w:bookmarkStart w:id="46" w:name="bookmark46"/>
      <w:bookmarkEnd w:id="46"/>
      <w:r>
        <w:rPr>
          <w:rFonts w:ascii="仿宋" w:hAnsi="仿宋" w:eastAsia="仿宋"/>
          <w:lang w:eastAsia="zh-CN"/>
        </w:rPr>
        <w:t>拟采取的整改措施（如拟深入调研分析及拟采用的方法，拟建立或实施的政策、制度、标准、项目，拟调整或建立的机构、专业、课程或教学环节、流程，拟投入的人力资源、资金、设备、场地等）；</w:t>
      </w:r>
    </w:p>
    <w:p>
      <w:pPr>
        <w:pStyle w:val="13"/>
        <w:numPr>
          <w:ilvl w:val="0"/>
          <w:numId w:val="6"/>
        </w:numPr>
        <w:tabs>
          <w:tab w:val="left" w:pos="843"/>
        </w:tabs>
        <w:spacing w:line="438" w:lineRule="exact"/>
        <w:ind w:firstLine="440"/>
        <w:jc w:val="both"/>
        <w:rPr>
          <w:rFonts w:ascii="仿宋" w:hAnsi="仿宋" w:eastAsia="仿宋"/>
          <w:lang w:eastAsia="zh-CN"/>
        </w:rPr>
      </w:pPr>
      <w:bookmarkStart w:id="47" w:name="bookmark47"/>
      <w:bookmarkEnd w:id="47"/>
      <w:r>
        <w:rPr>
          <w:rFonts w:ascii="仿宋" w:hAnsi="仿宋" w:eastAsia="仿宋"/>
          <w:lang w:eastAsia="zh-CN"/>
        </w:rPr>
        <w:t>该问题整改的校内责任单位和主要责任人，当牵涉多个单位时，应明确牵头单位和牵头负责人、参与单位和责任人，明确各单位的主要分工任务；当问题分解为若干子问题时，可依子问题分解责任单位和主要责任人；</w:t>
      </w:r>
    </w:p>
    <w:p>
      <w:pPr>
        <w:pStyle w:val="13"/>
        <w:numPr>
          <w:ilvl w:val="0"/>
          <w:numId w:val="6"/>
        </w:numPr>
        <w:tabs>
          <w:tab w:val="left" w:pos="851"/>
        </w:tabs>
        <w:spacing w:line="438" w:lineRule="exact"/>
        <w:ind w:firstLine="440"/>
        <w:jc w:val="both"/>
        <w:rPr>
          <w:rFonts w:ascii="仿宋" w:hAnsi="仿宋" w:eastAsia="仿宋"/>
          <w:lang w:eastAsia="zh-CN"/>
        </w:rPr>
      </w:pPr>
      <w:bookmarkStart w:id="48" w:name="bookmark48"/>
      <w:bookmarkEnd w:id="48"/>
      <w:r>
        <w:rPr>
          <w:rFonts w:ascii="仿宋" w:hAnsi="仿宋" w:eastAsia="仿宋"/>
          <w:lang w:eastAsia="zh-CN"/>
        </w:rPr>
        <w:t>该问题整改的进度安排，应该有明确的时间节点要求；</w:t>
      </w:r>
    </w:p>
    <w:p>
      <w:pPr>
        <w:pStyle w:val="13"/>
        <w:numPr>
          <w:ilvl w:val="0"/>
          <w:numId w:val="6"/>
        </w:numPr>
        <w:tabs>
          <w:tab w:val="left" w:pos="843"/>
        </w:tabs>
        <w:spacing w:after="260" w:line="438" w:lineRule="exact"/>
        <w:ind w:firstLine="440"/>
        <w:jc w:val="both"/>
        <w:rPr>
          <w:rFonts w:ascii="仿宋" w:hAnsi="仿宋" w:eastAsia="仿宋"/>
          <w:lang w:eastAsia="zh-CN"/>
        </w:rPr>
      </w:pPr>
      <w:bookmarkStart w:id="49" w:name="bookmark49"/>
      <w:bookmarkEnd w:id="49"/>
      <w:r>
        <w:rPr>
          <w:rFonts w:ascii="仿宋" w:hAnsi="仿宋" w:eastAsia="仿宋"/>
          <w:lang w:eastAsia="zh-CN"/>
        </w:rPr>
        <w:t>该问题的整改成效预期，说明采取整改措施后问题的预期改进程度、可能取得的成效。改进程度和可能取得的成效应是可以衡量、检验的，建议提出可具体度量的指标。</w:t>
      </w:r>
    </w:p>
    <w:p>
      <w:pPr>
        <w:pStyle w:val="13"/>
        <w:numPr>
          <w:ilvl w:val="0"/>
          <w:numId w:val="4"/>
        </w:numPr>
        <w:tabs>
          <w:tab w:val="left" w:pos="813"/>
        </w:tabs>
        <w:spacing w:after="160" w:line="443" w:lineRule="exact"/>
        <w:ind w:firstLine="440"/>
        <w:jc w:val="both"/>
        <w:rPr>
          <w:rFonts w:ascii="仿宋" w:hAnsi="仿宋" w:eastAsia="仿宋"/>
          <w:b/>
          <w:bCs/>
          <w:lang w:eastAsia="zh-CN"/>
        </w:rPr>
      </w:pPr>
      <w:bookmarkStart w:id="50" w:name="bookmark50"/>
      <w:bookmarkEnd w:id="50"/>
      <w:r>
        <w:rPr>
          <w:rFonts w:ascii="仿宋" w:hAnsi="仿宋" w:eastAsia="仿宋"/>
          <w:b/>
          <w:bCs/>
          <w:lang w:eastAsia="zh-CN"/>
        </w:rPr>
        <w:t>整改工作督办机制（2000字以内）</w:t>
      </w:r>
    </w:p>
    <w:p>
      <w:pPr>
        <w:pStyle w:val="13"/>
        <w:spacing w:line="437" w:lineRule="exact"/>
        <w:ind w:firstLine="440"/>
        <w:jc w:val="both"/>
        <w:rPr>
          <w:rFonts w:ascii="仿宋" w:hAnsi="仿宋" w:eastAsia="仿宋"/>
          <w:lang w:eastAsia="zh-CN"/>
        </w:rPr>
      </w:pPr>
      <w:r>
        <w:rPr>
          <w:rFonts w:ascii="仿宋" w:hAnsi="仿宋" w:eastAsia="仿宋"/>
          <w:lang w:eastAsia="zh-CN"/>
        </w:rPr>
        <w:t>包含但不限于以下内容：</w:t>
      </w:r>
    </w:p>
    <w:p>
      <w:pPr>
        <w:pStyle w:val="13"/>
        <w:numPr>
          <w:ilvl w:val="0"/>
          <w:numId w:val="7"/>
        </w:numPr>
        <w:tabs>
          <w:tab w:val="left" w:pos="856"/>
        </w:tabs>
        <w:spacing w:line="437" w:lineRule="exact"/>
        <w:ind w:firstLine="440"/>
        <w:jc w:val="both"/>
        <w:rPr>
          <w:rFonts w:ascii="仿宋" w:hAnsi="仿宋" w:eastAsia="仿宋"/>
          <w:lang w:eastAsia="zh-CN"/>
        </w:rPr>
      </w:pPr>
      <w:bookmarkStart w:id="51" w:name="bookmark51"/>
      <w:bookmarkEnd w:id="51"/>
      <w:r>
        <w:rPr>
          <w:rFonts w:ascii="仿宋" w:hAnsi="仿宋" w:eastAsia="仿宋"/>
          <w:lang w:eastAsia="zh-CN"/>
        </w:rPr>
        <w:t>学校层面的整改督办责任机构和责任人；</w:t>
      </w:r>
    </w:p>
    <w:p>
      <w:pPr>
        <w:pStyle w:val="13"/>
        <w:numPr>
          <w:ilvl w:val="0"/>
          <w:numId w:val="7"/>
        </w:numPr>
        <w:tabs>
          <w:tab w:val="left" w:pos="856"/>
        </w:tabs>
        <w:spacing w:line="437" w:lineRule="exact"/>
        <w:ind w:firstLine="440"/>
        <w:jc w:val="both"/>
        <w:rPr>
          <w:rFonts w:ascii="仿宋" w:hAnsi="仿宋" w:eastAsia="仿宋"/>
          <w:lang w:eastAsia="zh-CN"/>
        </w:rPr>
      </w:pPr>
      <w:bookmarkStart w:id="52" w:name="bookmark52"/>
      <w:bookmarkEnd w:id="52"/>
      <w:r>
        <w:rPr>
          <w:rFonts w:ascii="仿宋" w:hAnsi="仿宋" w:eastAsia="仿宋"/>
          <w:lang w:eastAsia="zh-CN"/>
        </w:rPr>
        <w:t>督办工作方法和流程，包括对校内二级单位自我检查的要求；</w:t>
      </w:r>
    </w:p>
    <w:p>
      <w:pPr>
        <w:pStyle w:val="13"/>
        <w:numPr>
          <w:ilvl w:val="0"/>
          <w:numId w:val="7"/>
        </w:numPr>
        <w:tabs>
          <w:tab w:val="left" w:pos="856"/>
        </w:tabs>
        <w:spacing w:line="437" w:lineRule="exact"/>
        <w:ind w:firstLine="440"/>
        <w:jc w:val="both"/>
        <w:rPr>
          <w:rFonts w:ascii="仿宋" w:hAnsi="仿宋" w:eastAsia="仿宋"/>
        </w:rPr>
      </w:pPr>
      <w:bookmarkStart w:id="53" w:name="bookmark53"/>
      <w:bookmarkEnd w:id="53"/>
      <w:r>
        <w:rPr>
          <w:rFonts w:ascii="仿宋" w:hAnsi="仿宋" w:eastAsia="仿宋"/>
        </w:rPr>
        <w:t>督办周期；</w:t>
      </w:r>
    </w:p>
    <w:p>
      <w:pPr>
        <w:pStyle w:val="13"/>
        <w:numPr>
          <w:ilvl w:val="0"/>
          <w:numId w:val="7"/>
        </w:numPr>
        <w:tabs>
          <w:tab w:val="left" w:pos="848"/>
        </w:tabs>
        <w:spacing w:line="437" w:lineRule="exact"/>
        <w:ind w:firstLine="440"/>
        <w:jc w:val="both"/>
        <w:rPr>
          <w:rFonts w:ascii="仿宋" w:hAnsi="仿宋" w:eastAsia="仿宋"/>
          <w:lang w:eastAsia="zh-CN"/>
        </w:rPr>
      </w:pPr>
      <w:bookmarkStart w:id="54" w:name="bookmark54"/>
      <w:bookmarkEnd w:id="54"/>
      <w:r>
        <w:rPr>
          <w:rFonts w:ascii="仿宋" w:hAnsi="仿宋" w:eastAsia="仿宋"/>
          <w:lang w:eastAsia="zh-CN"/>
        </w:rPr>
        <w:t>对整改进度的督查规定（如完成、基本完成、进行中、调整、待执行等）和整改方案调整的批准程序；</w:t>
      </w:r>
    </w:p>
    <w:p>
      <w:pPr>
        <w:pStyle w:val="13"/>
        <w:numPr>
          <w:ilvl w:val="0"/>
          <w:numId w:val="7"/>
        </w:numPr>
        <w:tabs>
          <w:tab w:val="left" w:pos="856"/>
        </w:tabs>
        <w:spacing w:line="437" w:lineRule="exact"/>
        <w:ind w:firstLine="440"/>
        <w:jc w:val="both"/>
        <w:rPr>
          <w:rFonts w:ascii="仿宋" w:hAnsi="仿宋" w:eastAsia="仿宋"/>
          <w:lang w:eastAsia="zh-CN"/>
        </w:rPr>
      </w:pPr>
      <w:bookmarkStart w:id="55" w:name="bookmark55"/>
      <w:bookmarkEnd w:id="55"/>
      <w:r>
        <w:rPr>
          <w:rFonts w:ascii="仿宋" w:hAnsi="仿宋" w:eastAsia="仿宋"/>
          <w:lang w:eastAsia="zh-CN"/>
        </w:rPr>
        <w:t>整改效果（超出预期、达成预期、未达成预期等）检验的评价依据；</w:t>
      </w:r>
    </w:p>
    <w:p>
      <w:pPr>
        <w:pStyle w:val="13"/>
        <w:numPr>
          <w:ilvl w:val="0"/>
          <w:numId w:val="7"/>
        </w:numPr>
        <w:tabs>
          <w:tab w:val="left" w:pos="836"/>
        </w:tabs>
        <w:spacing w:after="80" w:line="437" w:lineRule="exact"/>
        <w:ind w:firstLine="420"/>
        <w:jc w:val="both"/>
        <w:rPr>
          <w:rFonts w:ascii="仿宋" w:hAnsi="仿宋" w:eastAsia="仿宋"/>
          <w:lang w:eastAsia="zh-CN"/>
        </w:rPr>
      </w:pPr>
      <w:bookmarkStart w:id="56" w:name="bookmark56"/>
      <w:bookmarkEnd w:id="56"/>
      <w:r>
        <w:rPr>
          <w:rFonts w:ascii="仿宋" w:hAnsi="仿宋" w:eastAsia="仿宋"/>
          <w:lang w:eastAsia="zh-CN"/>
        </w:rPr>
        <w:t>结合校内考核等日常工作，纳入审核评估整改落实督办的要求或规定。</w:t>
      </w:r>
    </w:p>
    <w:p>
      <w:pPr>
        <w:pStyle w:val="13"/>
        <w:numPr>
          <w:ilvl w:val="0"/>
          <w:numId w:val="4"/>
        </w:numPr>
        <w:tabs>
          <w:tab w:val="left" w:pos="827"/>
        </w:tabs>
        <w:spacing w:after="160" w:line="443" w:lineRule="exact"/>
        <w:ind w:firstLine="440"/>
        <w:jc w:val="both"/>
        <w:rPr>
          <w:rFonts w:ascii="仿宋" w:hAnsi="仿宋" w:eastAsia="仿宋"/>
          <w:b/>
          <w:bCs/>
          <w:lang w:eastAsia="zh-CN"/>
        </w:rPr>
      </w:pPr>
      <w:r>
        <w:rPr>
          <w:rFonts w:ascii="仿宋" w:hAnsi="仿宋" w:eastAsia="仿宋"/>
          <w:b/>
          <w:bCs/>
          <w:lang w:eastAsia="zh-CN"/>
        </w:rPr>
        <w:t>附录：建立问题清单的情况说明</w:t>
      </w:r>
    </w:p>
    <w:p>
      <w:pPr>
        <w:pStyle w:val="13"/>
        <w:tabs>
          <w:tab w:val="left" w:pos="958"/>
        </w:tabs>
        <w:spacing w:line="442" w:lineRule="exact"/>
        <w:ind w:firstLine="420"/>
        <w:rPr>
          <w:rFonts w:ascii="仿宋" w:hAnsi="仿宋" w:eastAsia="仿宋"/>
          <w:lang w:eastAsia="zh-CN"/>
        </w:rPr>
      </w:pPr>
      <w:bookmarkStart w:id="57" w:name="bookmark57"/>
      <w:r>
        <w:rPr>
          <w:rFonts w:ascii="仿宋" w:hAnsi="仿宋" w:eastAsia="仿宋"/>
          <w:lang w:eastAsia="zh-CN"/>
        </w:rPr>
        <w:t>（</w:t>
      </w:r>
      <w:bookmarkEnd w:id="57"/>
      <w:r>
        <w:rPr>
          <w:rFonts w:ascii="仿宋" w:hAnsi="仿宋" w:eastAsia="仿宋"/>
          <w:lang w:eastAsia="zh-CN"/>
        </w:rPr>
        <w:t>1）</w:t>
      </w:r>
      <w:r>
        <w:rPr>
          <w:rFonts w:ascii="仿宋" w:hAnsi="仿宋" w:eastAsia="仿宋"/>
          <w:lang w:eastAsia="zh-CN"/>
        </w:rPr>
        <w:tab/>
      </w:r>
      <w:r>
        <w:rPr>
          <w:rFonts w:ascii="仿宋" w:hAnsi="仿宋" w:eastAsia="仿宋"/>
          <w:lang w:eastAsia="zh-CN"/>
        </w:rPr>
        <w:t>学校经分析后认为，自评报告审阅和入校评估考察过程中所提出的某些“问题”不予列入整改问题清单的，应逐项说明理由。</w:t>
      </w:r>
    </w:p>
    <w:p>
      <w:pPr>
        <w:pStyle w:val="13"/>
        <w:tabs>
          <w:tab w:val="left" w:pos="956"/>
        </w:tabs>
        <w:spacing w:line="442" w:lineRule="exact"/>
        <w:ind w:firstLine="420"/>
        <w:rPr>
          <w:rFonts w:ascii="仿宋" w:hAnsi="仿宋" w:eastAsia="仿宋"/>
          <w:lang w:eastAsia="zh-CN"/>
        </w:rPr>
      </w:pPr>
      <w:bookmarkStart w:id="58" w:name="bookmark58"/>
      <w:r>
        <w:rPr>
          <w:rFonts w:ascii="仿宋" w:hAnsi="仿宋" w:eastAsia="仿宋"/>
          <w:lang w:eastAsia="zh-CN"/>
        </w:rPr>
        <w:t>（</w:t>
      </w:r>
      <w:bookmarkEnd w:id="58"/>
      <w:r>
        <w:rPr>
          <w:rFonts w:ascii="仿宋" w:hAnsi="仿宋" w:eastAsia="仿宋"/>
          <w:lang w:eastAsia="zh-CN"/>
        </w:rPr>
        <w:t>2）</w:t>
      </w:r>
      <w:r>
        <w:rPr>
          <w:rFonts w:ascii="仿宋" w:hAnsi="仿宋" w:eastAsia="仿宋"/>
          <w:lang w:eastAsia="zh-CN"/>
        </w:rPr>
        <w:tab/>
      </w:r>
      <w:r>
        <w:rPr>
          <w:rFonts w:ascii="仿宋" w:hAnsi="仿宋" w:eastAsia="仿宋"/>
          <w:lang w:eastAsia="zh-CN"/>
        </w:rPr>
        <w:t>需说明的每项问题，包含但不限于如下内容：</w:t>
      </w:r>
    </w:p>
    <w:p>
      <w:pPr>
        <w:pStyle w:val="13"/>
        <w:numPr>
          <w:ilvl w:val="0"/>
          <w:numId w:val="8"/>
        </w:numPr>
        <w:tabs>
          <w:tab w:val="left" w:pos="829"/>
        </w:tabs>
        <w:spacing w:line="442" w:lineRule="exact"/>
        <w:ind w:firstLine="420"/>
        <w:rPr>
          <w:rFonts w:ascii="仿宋" w:hAnsi="仿宋" w:eastAsia="仿宋"/>
          <w:lang w:eastAsia="zh-CN"/>
        </w:rPr>
      </w:pPr>
      <w:bookmarkStart w:id="59" w:name="bookmark59"/>
      <w:bookmarkEnd w:id="59"/>
      <w:r>
        <w:rPr>
          <w:rFonts w:ascii="仿宋" w:hAnsi="仿宋" w:eastAsia="仿宋"/>
          <w:lang w:eastAsia="zh-CN"/>
        </w:rPr>
        <w:t>问题顺序号（与正文“问题清单表”第1列序号相同）及问题来源，原问题陈述；</w:t>
      </w:r>
    </w:p>
    <w:p>
      <w:pPr>
        <w:pStyle w:val="13"/>
        <w:numPr>
          <w:ilvl w:val="0"/>
          <w:numId w:val="8"/>
        </w:numPr>
        <w:tabs>
          <w:tab w:val="left" w:pos="826"/>
        </w:tabs>
        <w:spacing w:line="442" w:lineRule="exact"/>
        <w:ind w:firstLine="420"/>
        <w:rPr>
          <w:rFonts w:ascii="仿宋" w:hAnsi="仿宋" w:eastAsia="仿宋"/>
          <w:lang w:eastAsia="zh-CN"/>
        </w:rPr>
      </w:pPr>
      <w:bookmarkStart w:id="60" w:name="bookmark60"/>
      <w:bookmarkEnd w:id="60"/>
      <w:r>
        <w:rPr>
          <w:rFonts w:ascii="仿宋" w:hAnsi="仿宋" w:eastAsia="仿宋"/>
          <w:lang w:eastAsia="zh-CN"/>
        </w:rPr>
        <w:t>不予列入整改问题的原因。</w:t>
      </w:r>
    </w:p>
    <w:p>
      <w:pPr>
        <w:pStyle w:val="13"/>
        <w:tabs>
          <w:tab w:val="left" w:pos="956"/>
        </w:tabs>
        <w:spacing w:after="80" w:line="442" w:lineRule="exact"/>
        <w:ind w:firstLine="420"/>
        <w:rPr>
          <w:rFonts w:ascii="仿宋" w:hAnsi="仿宋" w:eastAsia="仿宋"/>
          <w:lang w:eastAsia="zh-CN"/>
        </w:rPr>
        <w:sectPr>
          <w:pgSz w:w="9547" w:h="14568"/>
          <w:pgMar w:top="1093" w:right="638" w:bottom="986" w:left="634" w:header="0" w:footer="3" w:gutter="0"/>
          <w:cols w:space="720" w:num="1"/>
          <w:docGrid w:linePitch="360" w:charSpace="0"/>
        </w:sectPr>
      </w:pPr>
      <w:bookmarkStart w:id="61" w:name="bookmark61"/>
      <w:r>
        <w:rPr>
          <w:rFonts w:ascii="仿宋" w:hAnsi="仿宋" w:eastAsia="仿宋"/>
          <w:lang w:eastAsia="zh-CN"/>
        </w:rPr>
        <w:t>（</w:t>
      </w:r>
      <w:bookmarkEnd w:id="61"/>
      <w:r>
        <w:rPr>
          <w:rFonts w:ascii="仿宋" w:hAnsi="仿宋" w:eastAsia="仿宋"/>
          <w:lang w:eastAsia="zh-CN"/>
        </w:rPr>
        <w:t>3）</w:t>
      </w:r>
      <w:r>
        <w:rPr>
          <w:rFonts w:ascii="仿宋" w:hAnsi="仿宋" w:eastAsia="仿宋"/>
          <w:lang w:eastAsia="zh-CN"/>
        </w:rPr>
        <w:tab/>
      </w:r>
      <w:r>
        <w:rPr>
          <w:rFonts w:ascii="仿宋" w:hAnsi="仿宋" w:eastAsia="仿宋"/>
          <w:lang w:eastAsia="zh-CN"/>
        </w:rPr>
        <w:t>当不存在上述情况时，本附录内容填写：无。</w:t>
      </w:r>
    </w:p>
    <w:p>
      <w:pPr>
        <w:pStyle w:val="7"/>
        <w:keepNext/>
        <w:keepLines/>
        <w:spacing w:after="1760" w:line="653" w:lineRule="exact"/>
        <w:rPr>
          <w:lang w:eastAsia="zh-CN"/>
        </w:rPr>
      </w:pPr>
      <w:bookmarkStart w:id="62" w:name="bookmark64"/>
      <w:bookmarkStart w:id="63" w:name="bookmark63"/>
      <w:bookmarkStart w:id="64" w:name="bookmark62"/>
      <w:r>
        <w:rPr>
          <w:lang w:eastAsia="zh-CN"/>
        </w:rPr>
        <w:t>普通高等学校本科教育教学审核评估</w:t>
      </w:r>
      <w:r>
        <w:rPr>
          <w:lang w:eastAsia="zh-CN"/>
        </w:rPr>
        <w:br w:type="textWrapping"/>
      </w:r>
      <w:r>
        <w:rPr>
          <w:lang w:eastAsia="zh-CN"/>
        </w:rPr>
        <w:t>整改报告</w:t>
      </w:r>
      <w:bookmarkEnd w:id="62"/>
      <w:bookmarkEnd w:id="63"/>
      <w:bookmarkEnd w:id="64"/>
    </w:p>
    <w:p>
      <w:pPr>
        <w:pStyle w:val="11"/>
        <w:spacing w:after="0"/>
        <w:ind w:left="0"/>
        <w:jc w:val="center"/>
        <w:rPr>
          <w:rFonts w:ascii="Arial" w:hAnsi="Arial" w:eastAsia="Arial" w:cs="Arial"/>
          <w:sz w:val="24"/>
          <w:szCs w:val="24"/>
          <w:lang w:eastAsia="zh-CN"/>
        </w:rPr>
      </w:pPr>
      <w:r>
        <w:rPr>
          <w:sz w:val="24"/>
          <w:szCs w:val="24"/>
          <w:lang w:eastAsia="zh-CN"/>
        </w:rPr>
        <w:t>&lt;可以插入学校的</w:t>
      </w:r>
      <w:r>
        <w:rPr>
          <w:rFonts w:ascii="Arial" w:hAnsi="Arial" w:eastAsia="Arial" w:cs="Arial"/>
          <w:sz w:val="24"/>
          <w:szCs w:val="24"/>
          <w:lang w:eastAsia="zh-CN"/>
        </w:rPr>
        <w:t>logo&gt;</w:t>
      </w:r>
    </w:p>
    <w:p>
      <w:pPr>
        <w:pStyle w:val="11"/>
        <w:spacing w:after="0"/>
        <w:ind w:left="0"/>
        <w:jc w:val="center"/>
        <w:rPr>
          <w:rFonts w:ascii="Arial" w:hAnsi="Arial" w:cs="Arial" w:eastAsiaTheme="minorEastAsia"/>
          <w:sz w:val="24"/>
          <w:szCs w:val="24"/>
          <w:lang w:eastAsia="zh-CN"/>
        </w:rPr>
      </w:pPr>
    </w:p>
    <w:p>
      <w:pPr>
        <w:pStyle w:val="11"/>
        <w:spacing w:after="0"/>
        <w:ind w:left="0"/>
        <w:jc w:val="center"/>
        <w:rPr>
          <w:rFonts w:ascii="Arial" w:hAnsi="Arial" w:cs="Arial" w:eastAsiaTheme="minorEastAsia"/>
          <w:sz w:val="24"/>
          <w:szCs w:val="24"/>
          <w:lang w:eastAsia="zh-CN"/>
        </w:rPr>
      </w:pPr>
    </w:p>
    <w:p>
      <w:pPr>
        <w:pStyle w:val="11"/>
        <w:spacing w:after="0"/>
        <w:ind w:left="0"/>
        <w:jc w:val="center"/>
        <w:rPr>
          <w:rFonts w:ascii="Arial" w:hAnsi="Arial" w:cs="Arial" w:eastAsiaTheme="minorEastAsia"/>
          <w:sz w:val="24"/>
          <w:szCs w:val="24"/>
          <w:lang w:eastAsia="zh-CN"/>
        </w:rPr>
      </w:pPr>
    </w:p>
    <w:p>
      <w:pPr>
        <w:pStyle w:val="11"/>
        <w:spacing w:after="0"/>
        <w:ind w:left="0"/>
        <w:jc w:val="center"/>
        <w:rPr>
          <w:rFonts w:ascii="Arial" w:hAnsi="Arial" w:cs="Arial" w:eastAsiaTheme="minorEastAsia"/>
          <w:sz w:val="24"/>
          <w:szCs w:val="24"/>
          <w:lang w:eastAsia="zh-CN"/>
        </w:rPr>
      </w:pPr>
    </w:p>
    <w:p>
      <w:pPr>
        <w:pStyle w:val="11"/>
        <w:spacing w:after="0"/>
        <w:ind w:left="0"/>
        <w:jc w:val="center"/>
        <w:rPr>
          <w:rFonts w:ascii="Arial" w:hAnsi="Arial" w:cs="Arial" w:eastAsiaTheme="minorEastAsia"/>
          <w:sz w:val="24"/>
          <w:szCs w:val="24"/>
          <w:lang w:eastAsia="zh-CN"/>
        </w:rPr>
      </w:pPr>
    </w:p>
    <w:p>
      <w:pPr>
        <w:pStyle w:val="11"/>
        <w:spacing w:after="0"/>
        <w:ind w:left="0"/>
        <w:jc w:val="center"/>
        <w:rPr>
          <w:rFonts w:hint="eastAsia" w:eastAsiaTheme="minorEastAsia"/>
          <w:sz w:val="24"/>
          <w:szCs w:val="24"/>
          <w:lang w:eastAsia="zh-CN"/>
        </w:rPr>
      </w:pPr>
    </w:p>
    <w:p>
      <w:pPr>
        <w:pStyle w:val="11"/>
        <w:spacing w:after="340"/>
        <w:rPr>
          <w:lang w:eastAsia="zh-CN"/>
        </w:rPr>
      </w:pPr>
      <w:r>
        <w:rPr>
          <w:lang w:eastAsia="zh-CN"/>
        </w:rPr>
        <w:t>学校名称（公章）：</w:t>
      </w:r>
    </w:p>
    <w:p>
      <w:pPr>
        <w:pStyle w:val="11"/>
        <w:spacing w:after="340"/>
        <w:rPr>
          <w:lang w:eastAsia="zh-CN"/>
        </w:rPr>
      </w:pPr>
      <w:r>
        <w:rPr>
          <w:lang w:eastAsia="zh-CN"/>
        </w:rPr>
        <w:t>评估类型：</w:t>
      </w:r>
    </w:p>
    <w:p>
      <w:pPr>
        <w:pStyle w:val="11"/>
        <w:spacing w:after="340"/>
        <w:rPr>
          <w:lang w:eastAsia="zh-CN"/>
        </w:rPr>
      </w:pPr>
      <w:r>
        <w:rPr>
          <w:lang w:eastAsia="zh-CN"/>
        </w:rPr>
        <w:t>评估时间：</w:t>
      </w:r>
    </w:p>
    <w:p>
      <w:pPr>
        <w:pStyle w:val="11"/>
        <w:spacing w:after="340"/>
        <w:rPr>
          <w:lang w:eastAsia="zh-CN"/>
        </w:rPr>
      </w:pPr>
      <w:r>
        <w:rPr>
          <w:lang w:eastAsia="zh-CN"/>
        </w:rPr>
        <w:t>学校联系人：</w:t>
      </w:r>
    </w:p>
    <w:p>
      <w:pPr>
        <w:pStyle w:val="11"/>
        <w:spacing w:after="340"/>
        <w:rPr>
          <w:lang w:eastAsia="zh-CN"/>
        </w:rPr>
      </w:pPr>
      <w:r>
        <w:rPr>
          <w:lang w:eastAsia="zh-CN"/>
        </w:rPr>
        <w:t>联系电话：</w:t>
      </w:r>
    </w:p>
    <w:p>
      <w:pPr>
        <w:pStyle w:val="11"/>
        <w:spacing w:after="340"/>
        <w:rPr>
          <w:lang w:eastAsia="zh-CN"/>
        </w:rPr>
      </w:pPr>
      <w:r>
        <w:rPr>
          <w:lang w:eastAsia="zh-CN"/>
        </w:rPr>
        <w:t>校长（签字）：</w:t>
      </w:r>
    </w:p>
    <w:p>
      <w:pPr>
        <w:pStyle w:val="11"/>
        <w:spacing w:after="340"/>
        <w:rPr>
          <w:lang w:eastAsia="zh-CN"/>
        </w:rPr>
      </w:pPr>
      <w:r>
        <w:rPr>
          <w:lang w:eastAsia="zh-CN"/>
        </w:rPr>
        <w:t>提交日期:</w:t>
      </w:r>
    </w:p>
    <w:p>
      <w:pPr>
        <w:pStyle w:val="11"/>
        <w:spacing w:after="260"/>
        <w:ind w:left="0"/>
        <w:jc w:val="center"/>
        <w:rPr>
          <w:lang w:eastAsia="zh-CN"/>
        </w:rPr>
      </w:pPr>
      <w:r>
        <w:rPr>
          <w:lang w:eastAsia="zh-CN"/>
        </w:rPr>
        <w:t>撰</w:t>
      </w:r>
      <w:r>
        <w:rPr>
          <w:rFonts w:hint="eastAsia"/>
          <w:lang w:eastAsia="zh-CN"/>
        </w:rPr>
        <w:t xml:space="preserve"> </w:t>
      </w:r>
      <w:r>
        <w:rPr>
          <w:lang w:eastAsia="zh-CN"/>
        </w:rPr>
        <w:t>写</w:t>
      </w:r>
      <w:r>
        <w:rPr>
          <w:rFonts w:hint="eastAsia"/>
          <w:lang w:eastAsia="zh-CN"/>
        </w:rPr>
        <w:t xml:space="preserve"> </w:t>
      </w:r>
      <w:r>
        <w:rPr>
          <w:lang w:eastAsia="zh-CN"/>
        </w:rPr>
        <w:t>说</w:t>
      </w:r>
      <w:r>
        <w:rPr>
          <w:rFonts w:hint="eastAsia"/>
          <w:lang w:eastAsia="zh-CN"/>
        </w:rPr>
        <w:t xml:space="preserve"> </w:t>
      </w:r>
      <w:r>
        <w:rPr>
          <w:lang w:eastAsia="zh-CN"/>
        </w:rPr>
        <w:t>明</w:t>
      </w:r>
    </w:p>
    <w:p>
      <w:pPr>
        <w:pStyle w:val="13"/>
        <w:tabs>
          <w:tab w:val="left" w:pos="730"/>
        </w:tabs>
        <w:spacing w:line="446" w:lineRule="exact"/>
        <w:ind w:left="400" w:firstLineChars="200"/>
        <w:rPr>
          <w:rFonts w:ascii="仿宋" w:hAnsi="仿宋" w:eastAsia="仿宋"/>
          <w:lang w:eastAsia="zh-CN"/>
        </w:rPr>
      </w:pPr>
      <w:r>
        <w:rPr>
          <w:rFonts w:hint="eastAsia" w:ascii="仿宋" w:hAnsi="仿宋" w:eastAsia="仿宋"/>
          <w:lang w:eastAsia="zh-CN"/>
        </w:rPr>
        <w:t>1</w:t>
      </w:r>
      <w:r>
        <w:rPr>
          <w:rFonts w:ascii="仿宋" w:hAnsi="仿宋" w:eastAsia="仿宋"/>
          <w:lang w:eastAsia="zh-CN"/>
        </w:rPr>
        <w:t>.整改报告的时间是从审核评估结束到完成评估整改工作的时间。</w:t>
      </w:r>
    </w:p>
    <w:p>
      <w:pPr>
        <w:pStyle w:val="13"/>
        <w:tabs>
          <w:tab w:val="left" w:pos="744"/>
        </w:tabs>
        <w:spacing w:line="446" w:lineRule="exact"/>
        <w:ind w:left="400" w:firstLineChars="200"/>
        <w:rPr>
          <w:rFonts w:ascii="仿宋" w:hAnsi="仿宋" w:eastAsia="仿宋"/>
          <w:lang w:eastAsia="zh-CN"/>
        </w:rPr>
      </w:pPr>
      <w:bookmarkStart w:id="65" w:name="bookmark66"/>
      <w:bookmarkEnd w:id="65"/>
      <w:r>
        <w:rPr>
          <w:rFonts w:hint="eastAsia" w:ascii="仿宋" w:hAnsi="仿宋" w:eastAsia="仿宋"/>
          <w:lang w:eastAsia="zh-CN"/>
        </w:rPr>
        <w:t>2</w:t>
      </w:r>
      <w:r>
        <w:rPr>
          <w:rFonts w:ascii="仿宋" w:hAnsi="仿宋" w:eastAsia="仿宋"/>
          <w:lang w:eastAsia="zh-CN"/>
        </w:rPr>
        <w:t>.学校应该以审核评估整改方案为依据，重点对审核评估提出的问题进行回应。</w:t>
      </w:r>
    </w:p>
    <w:p>
      <w:pPr>
        <w:pStyle w:val="13"/>
        <w:tabs>
          <w:tab w:val="left" w:pos="766"/>
        </w:tabs>
        <w:spacing w:line="446" w:lineRule="exact"/>
        <w:ind w:left="420" w:firstLineChars="200"/>
        <w:jc w:val="both"/>
        <w:rPr>
          <w:rFonts w:ascii="仿宋" w:hAnsi="仿宋" w:eastAsia="仿宋"/>
          <w:lang w:eastAsia="zh-CN"/>
        </w:rPr>
      </w:pPr>
      <w:bookmarkStart w:id="66" w:name="bookmark67"/>
      <w:bookmarkEnd w:id="66"/>
      <w:r>
        <w:rPr>
          <w:rFonts w:hint="eastAsia" w:ascii="仿宋" w:hAnsi="仿宋" w:eastAsia="仿宋"/>
          <w:lang w:eastAsia="zh-CN"/>
        </w:rPr>
        <w:t>3</w:t>
      </w:r>
      <w:r>
        <w:rPr>
          <w:rFonts w:ascii="仿宋" w:hAnsi="仿宋" w:eastAsia="仿宋"/>
          <w:lang w:eastAsia="zh-CN"/>
        </w:rPr>
        <w:t>.格式文本中的黑体字体为规定内容，撰写时予以保留；其他字体为提示参考,撰写时不需保留。</w:t>
      </w:r>
    </w:p>
    <w:p>
      <w:pPr>
        <w:pStyle w:val="13"/>
        <w:tabs>
          <w:tab w:val="left" w:pos="738"/>
        </w:tabs>
        <w:spacing w:line="451" w:lineRule="exact"/>
        <w:ind w:left="420" w:firstLineChars="200"/>
        <w:jc w:val="both"/>
        <w:rPr>
          <w:rFonts w:ascii="仿宋" w:hAnsi="仿宋" w:eastAsia="仿宋"/>
          <w:lang w:eastAsia="zh-CN"/>
        </w:rPr>
        <w:sectPr>
          <w:headerReference r:id="rId9" w:type="default"/>
          <w:headerReference r:id="rId10" w:type="even"/>
          <w:pgSz w:w="9547" w:h="14568"/>
          <w:pgMar w:top="1512" w:right="613" w:bottom="2064" w:left="677" w:header="0" w:footer="3" w:gutter="0"/>
          <w:cols w:space="720" w:num="1"/>
          <w:docGrid w:linePitch="360" w:charSpace="0"/>
        </w:sectPr>
      </w:pPr>
      <w:bookmarkStart w:id="67" w:name="bookmark68"/>
      <w:bookmarkEnd w:id="67"/>
      <w:r>
        <w:rPr>
          <w:rFonts w:hint="eastAsia" w:ascii="仿宋" w:hAnsi="仿宋" w:eastAsia="仿宋"/>
          <w:lang w:eastAsia="zh-CN"/>
        </w:rPr>
        <w:t>4</w:t>
      </w:r>
      <w:r>
        <w:rPr>
          <w:rFonts w:ascii="仿宋" w:hAnsi="仿宋" w:eastAsia="仿宋"/>
          <w:lang w:eastAsia="zh-CN"/>
        </w:rPr>
        <w:t>.整改报告应紧扣主题，总字数不超过10000字（不含附录），总字数可在各部分中自行调节，建议的各部分控制字数供参考。</w:t>
      </w:r>
    </w:p>
    <w:p>
      <w:pPr>
        <w:pStyle w:val="7"/>
        <w:keepNext/>
        <w:keepLines/>
        <w:spacing w:before="1320" w:after="1380" w:line="240" w:lineRule="auto"/>
        <w:rPr>
          <w:b/>
          <w:bCs/>
          <w:lang w:eastAsia="zh-CN"/>
        </w:rPr>
      </w:pPr>
      <w:bookmarkStart w:id="68" w:name="bookmark69"/>
      <w:bookmarkStart w:id="69" w:name="bookmark70"/>
      <w:bookmarkStart w:id="70" w:name="bookmark71"/>
      <w:r>
        <w:rPr>
          <w:b/>
          <w:bCs/>
          <w:lang w:eastAsia="zh-CN"/>
        </w:rPr>
        <w:t>本科教育教学审核评估整改报告</w:t>
      </w:r>
      <w:bookmarkEnd w:id="68"/>
      <w:bookmarkEnd w:id="69"/>
      <w:bookmarkEnd w:id="70"/>
    </w:p>
    <w:p>
      <w:pPr>
        <w:pStyle w:val="13"/>
        <w:tabs>
          <w:tab w:val="left" w:pos="808"/>
        </w:tabs>
        <w:spacing w:after="160" w:line="440" w:lineRule="exact"/>
        <w:ind w:left="440" w:firstLine="402" w:firstLineChars="200"/>
        <w:jc w:val="both"/>
        <w:rPr>
          <w:b/>
          <w:bCs/>
          <w:lang w:eastAsia="zh-CN"/>
        </w:rPr>
      </w:pPr>
      <w:bookmarkStart w:id="71" w:name="bookmark72"/>
      <w:bookmarkEnd w:id="71"/>
      <w:r>
        <w:rPr>
          <w:rFonts w:hint="eastAsia"/>
          <w:b/>
          <w:bCs/>
          <w:lang w:eastAsia="zh-CN"/>
        </w:rPr>
        <w:t>1</w:t>
      </w:r>
      <w:r>
        <w:rPr>
          <w:b/>
          <w:bCs/>
          <w:lang w:eastAsia="zh-CN"/>
        </w:rPr>
        <w:t>.本科教育教学工作中存在的问题（不超过1000字）</w:t>
      </w:r>
    </w:p>
    <w:p>
      <w:pPr>
        <w:pStyle w:val="13"/>
        <w:spacing w:after="260" w:line="437" w:lineRule="exact"/>
        <w:ind w:left="440" w:firstLineChars="200"/>
        <w:jc w:val="both"/>
        <w:rPr>
          <w:lang w:eastAsia="zh-CN"/>
        </w:rPr>
      </w:pPr>
      <w:r>
        <w:rPr>
          <w:lang w:eastAsia="zh-CN"/>
        </w:rPr>
        <w:t>简要说明学校参加审核评估工作的基本情况；审核评估专家组及《专家组审核评估报告》中对学校本科教育教学工作提出的问题，专业认证中专家提出的尚未整改的问题，以及学校在自评中发现的主要问题。列出主要问题清单（附录1）。</w:t>
      </w:r>
    </w:p>
    <w:p>
      <w:pPr>
        <w:pStyle w:val="13"/>
        <w:tabs>
          <w:tab w:val="left" w:pos="808"/>
        </w:tabs>
        <w:spacing w:after="160" w:line="440" w:lineRule="exact"/>
        <w:ind w:left="440" w:firstLine="402" w:firstLineChars="200"/>
        <w:jc w:val="both"/>
        <w:rPr>
          <w:b/>
          <w:bCs/>
          <w:lang w:eastAsia="zh-CN"/>
        </w:rPr>
      </w:pPr>
      <w:bookmarkStart w:id="72" w:name="bookmark73"/>
      <w:bookmarkEnd w:id="72"/>
      <w:r>
        <w:rPr>
          <w:rFonts w:hint="eastAsia"/>
          <w:b/>
          <w:bCs/>
          <w:lang w:eastAsia="zh-CN"/>
        </w:rPr>
        <w:t>2</w:t>
      </w:r>
      <w:r>
        <w:rPr>
          <w:b/>
          <w:bCs/>
          <w:lang w:eastAsia="zh-CN"/>
        </w:rPr>
        <w:t>.整改工作总体安排情况（不超过2000字）</w:t>
      </w:r>
    </w:p>
    <w:p>
      <w:pPr>
        <w:pStyle w:val="13"/>
        <w:spacing w:line="440" w:lineRule="exact"/>
        <w:ind w:left="440" w:firstLineChars="200"/>
        <w:jc w:val="both"/>
        <w:rPr>
          <w:lang w:eastAsia="zh-CN"/>
        </w:rPr>
      </w:pPr>
      <w:r>
        <w:rPr>
          <w:lang w:eastAsia="zh-CN"/>
        </w:rPr>
        <w:t>简要说明学校针对学校自查结果和专家评估结果开展整改的基本情况。主要包括以下几个方面。</w:t>
      </w:r>
    </w:p>
    <w:p>
      <w:pPr>
        <w:pStyle w:val="13"/>
        <w:tabs>
          <w:tab w:val="left" w:pos="981"/>
        </w:tabs>
        <w:spacing w:line="440" w:lineRule="exact"/>
        <w:ind w:left="440" w:firstLineChars="200"/>
        <w:jc w:val="both"/>
        <w:rPr>
          <w:lang w:eastAsia="zh-CN"/>
        </w:rPr>
      </w:pPr>
      <w:bookmarkStart w:id="73" w:name="bookmark74"/>
      <w:r>
        <w:rPr>
          <w:lang w:eastAsia="zh-CN"/>
        </w:rPr>
        <w:t>（</w:t>
      </w:r>
      <w:bookmarkEnd w:id="73"/>
      <w:r>
        <w:rPr>
          <w:lang w:eastAsia="zh-CN"/>
        </w:rPr>
        <w:t>1）整改工作的组织情况</w:t>
      </w:r>
    </w:p>
    <w:p>
      <w:pPr>
        <w:pStyle w:val="13"/>
        <w:spacing w:line="440" w:lineRule="exact"/>
        <w:ind w:left="440" w:firstLineChars="200"/>
        <w:jc w:val="both"/>
        <w:rPr>
          <w:lang w:eastAsia="zh-CN"/>
        </w:rPr>
      </w:pPr>
      <w:r>
        <w:rPr>
          <w:lang w:eastAsia="zh-CN"/>
        </w:rPr>
        <w:t>简要说明学校层面，院系层面如何针对审核评估自评结果和专家评估结果，组织开展整改。包括学校的总体部署情况，任务分解情况，整改工作机制、督查督办和问责机制等。</w:t>
      </w:r>
    </w:p>
    <w:p>
      <w:pPr>
        <w:pStyle w:val="13"/>
        <w:tabs>
          <w:tab w:val="left" w:pos="981"/>
        </w:tabs>
        <w:spacing w:line="440" w:lineRule="exact"/>
        <w:ind w:left="440" w:firstLineChars="200"/>
        <w:jc w:val="both"/>
        <w:rPr>
          <w:lang w:eastAsia="zh-CN"/>
        </w:rPr>
      </w:pPr>
      <w:bookmarkStart w:id="74" w:name="bookmark75"/>
      <w:r>
        <w:rPr>
          <w:lang w:eastAsia="zh-CN"/>
        </w:rPr>
        <w:t>（</w:t>
      </w:r>
      <w:bookmarkEnd w:id="74"/>
      <w:r>
        <w:rPr>
          <w:lang w:eastAsia="zh-CN"/>
        </w:rPr>
        <w:t>2）整改方案的简要概括</w:t>
      </w:r>
    </w:p>
    <w:p>
      <w:pPr>
        <w:pStyle w:val="13"/>
        <w:spacing w:after="260" w:line="440" w:lineRule="exact"/>
        <w:ind w:left="440" w:firstLineChars="200"/>
        <w:jc w:val="both"/>
        <w:rPr>
          <w:lang w:eastAsia="zh-CN"/>
        </w:rPr>
      </w:pPr>
      <w:r>
        <w:rPr>
          <w:lang w:eastAsia="zh-CN"/>
        </w:rPr>
        <w:t>包括整改问题的分析，整改方案的制定。</w:t>
      </w:r>
    </w:p>
    <w:p>
      <w:pPr>
        <w:pStyle w:val="13"/>
        <w:tabs>
          <w:tab w:val="left" w:pos="808"/>
        </w:tabs>
        <w:spacing w:after="160" w:line="440" w:lineRule="exact"/>
        <w:ind w:left="440" w:firstLine="402" w:firstLineChars="200"/>
        <w:jc w:val="both"/>
        <w:rPr>
          <w:b/>
          <w:bCs/>
          <w:lang w:eastAsia="zh-CN"/>
        </w:rPr>
      </w:pPr>
      <w:bookmarkStart w:id="75" w:name="bookmark76"/>
      <w:bookmarkEnd w:id="75"/>
      <w:r>
        <w:rPr>
          <w:rFonts w:hint="eastAsia"/>
          <w:b/>
          <w:bCs/>
          <w:lang w:eastAsia="zh-CN"/>
        </w:rPr>
        <w:t>3</w:t>
      </w:r>
      <w:r>
        <w:rPr>
          <w:b/>
          <w:bCs/>
          <w:lang w:eastAsia="zh-CN"/>
        </w:rPr>
        <w:t>.整改方案的落实情况（不超过5500字）</w:t>
      </w:r>
    </w:p>
    <w:p>
      <w:pPr>
        <w:pStyle w:val="13"/>
        <w:spacing w:line="442" w:lineRule="exact"/>
        <w:ind w:left="440" w:firstLineChars="200"/>
        <w:jc w:val="both"/>
        <w:rPr>
          <w:lang w:eastAsia="zh-CN"/>
        </w:rPr>
      </w:pPr>
      <w:r>
        <w:rPr>
          <w:lang w:eastAsia="zh-CN"/>
        </w:rPr>
        <w:t>（1）主要整改措施</w:t>
      </w:r>
    </w:p>
    <w:p>
      <w:pPr>
        <w:pStyle w:val="13"/>
        <w:spacing w:line="442" w:lineRule="exact"/>
        <w:ind w:left="440" w:firstLineChars="200"/>
        <w:jc w:val="both"/>
        <w:rPr>
          <w:lang w:eastAsia="zh-CN"/>
        </w:rPr>
      </w:pPr>
      <w:r>
        <w:rPr>
          <w:lang w:eastAsia="zh-CN"/>
        </w:rPr>
        <w:t>学校整改工作所采取的主要措施和完成情况。重点说明人才培养质量保障机制建设与落实情况，强化整改举措落实等方面的内容。</w:t>
      </w:r>
    </w:p>
    <w:p>
      <w:pPr>
        <w:pStyle w:val="13"/>
        <w:spacing w:line="442" w:lineRule="exact"/>
        <w:ind w:left="440" w:firstLineChars="200"/>
        <w:jc w:val="both"/>
        <w:rPr>
          <w:lang w:eastAsia="zh-CN"/>
        </w:rPr>
      </w:pPr>
      <w:r>
        <w:rPr>
          <w:lang w:eastAsia="zh-CN"/>
        </w:rPr>
        <w:t>（2）整改目标达成和整改成效评价</w:t>
      </w:r>
    </w:p>
    <w:p>
      <w:pPr>
        <w:pStyle w:val="13"/>
        <w:spacing w:after="260" w:line="440" w:lineRule="exact"/>
        <w:ind w:left="420" w:firstLineChars="200"/>
        <w:jc w:val="both"/>
        <w:rPr>
          <w:lang w:eastAsia="zh-CN"/>
        </w:rPr>
      </w:pPr>
      <w:r>
        <w:rPr>
          <w:lang w:eastAsia="zh-CN"/>
        </w:rPr>
        <w:t>对照学校评估整改问题清单和整改目标，总结整改工作的完成情况（附录2）和评估整改与持续改进的实质性效果。包括整改问题的解决情况、整改目标的达成情况，以及整改措施取得的成效等并提供证据。</w:t>
      </w:r>
    </w:p>
    <w:p>
      <w:pPr>
        <w:pStyle w:val="13"/>
        <w:tabs>
          <w:tab w:val="left" w:pos="808"/>
        </w:tabs>
        <w:spacing w:after="160" w:line="440" w:lineRule="exact"/>
        <w:ind w:left="440" w:firstLine="402" w:firstLineChars="200"/>
        <w:jc w:val="both"/>
        <w:rPr>
          <w:b/>
          <w:bCs/>
          <w:lang w:eastAsia="zh-CN"/>
        </w:rPr>
      </w:pPr>
      <w:bookmarkStart w:id="76" w:name="bookmark77"/>
      <w:bookmarkEnd w:id="76"/>
      <w:r>
        <w:rPr>
          <w:rFonts w:hint="eastAsia"/>
          <w:b/>
          <w:bCs/>
          <w:lang w:eastAsia="zh-CN"/>
        </w:rPr>
        <w:t>4</w:t>
      </w:r>
      <w:r>
        <w:rPr>
          <w:b/>
          <w:bCs/>
          <w:lang w:eastAsia="zh-CN"/>
        </w:rPr>
        <w:t>.整改工作经验和不足（不超过1500字）</w:t>
      </w:r>
    </w:p>
    <w:p>
      <w:pPr>
        <w:pStyle w:val="13"/>
        <w:spacing w:line="434" w:lineRule="exact"/>
        <w:ind w:left="420" w:firstLineChars="200"/>
        <w:rPr>
          <w:lang w:eastAsia="zh-CN"/>
        </w:rPr>
      </w:pPr>
      <w:r>
        <w:rPr>
          <w:lang w:eastAsia="zh-CN"/>
        </w:rPr>
        <w:t>简要说明在整改过程中形成的经验和特色，可示范推广的内容，不足和改进计划。</w:t>
      </w:r>
    </w:p>
    <w:p>
      <w:pPr>
        <w:pStyle w:val="13"/>
        <w:tabs>
          <w:tab w:val="left" w:pos="956"/>
        </w:tabs>
        <w:spacing w:line="434" w:lineRule="exact"/>
        <w:ind w:left="420" w:firstLineChars="200"/>
      </w:pPr>
      <w:bookmarkStart w:id="77" w:name="bookmark78"/>
      <w:r>
        <w:t>（</w:t>
      </w:r>
      <w:bookmarkEnd w:id="77"/>
      <w:r>
        <w:t>1）整改工作特色和成效</w:t>
      </w:r>
    </w:p>
    <w:p>
      <w:pPr>
        <w:pStyle w:val="13"/>
        <w:spacing w:line="434" w:lineRule="exact"/>
        <w:ind w:left="420" w:firstLineChars="200"/>
        <w:rPr>
          <w:lang w:eastAsia="zh-CN"/>
        </w:rPr>
      </w:pPr>
      <w:r>
        <w:rPr>
          <w:lang w:eastAsia="zh-CN"/>
        </w:rPr>
        <w:t>总结学校评估整改工作中的特色措施和做法、取得的整改经验、工作亮点等。</w:t>
      </w:r>
    </w:p>
    <w:p>
      <w:pPr>
        <w:pStyle w:val="13"/>
        <w:tabs>
          <w:tab w:val="left" w:pos="956"/>
        </w:tabs>
        <w:spacing w:line="434" w:lineRule="exact"/>
        <w:ind w:left="420" w:firstLineChars="200"/>
        <w:rPr>
          <w:lang w:eastAsia="zh-CN"/>
        </w:rPr>
      </w:pPr>
      <w:bookmarkStart w:id="78" w:name="bookmark79"/>
      <w:r>
        <w:rPr>
          <w:lang w:eastAsia="zh-CN"/>
        </w:rPr>
        <w:t>（</w:t>
      </w:r>
      <w:bookmarkEnd w:id="78"/>
      <w:r>
        <w:rPr>
          <w:lang w:eastAsia="zh-CN"/>
        </w:rPr>
        <w:t>2）整改工作不足和改进计划</w:t>
      </w:r>
    </w:p>
    <w:p>
      <w:pPr>
        <w:pStyle w:val="13"/>
        <w:spacing w:after="260" w:line="432" w:lineRule="exact"/>
        <w:ind w:left="440" w:firstLineChars="200"/>
        <w:jc w:val="both"/>
        <w:rPr>
          <w:lang w:eastAsia="zh-CN"/>
        </w:rPr>
      </w:pPr>
      <w:r>
        <w:rPr>
          <w:lang w:eastAsia="zh-CN"/>
        </w:rPr>
        <w:t>总结分析学校评估整改工作中存在的不足，对未完成整改目标的部分要重点说明,分析原因，提出后续改进思路和计划等。</w:t>
      </w:r>
    </w:p>
    <w:p>
      <w:pPr>
        <w:pStyle w:val="13"/>
        <w:spacing w:after="340" w:line="434" w:lineRule="exact"/>
        <w:ind w:left="440" w:firstLine="0"/>
        <w:jc w:val="both"/>
        <w:rPr>
          <w:b/>
          <w:bCs/>
          <w:lang w:eastAsia="zh-CN"/>
        </w:rPr>
      </w:pPr>
      <w:r>
        <w:rPr>
          <w:b/>
          <w:bCs/>
          <w:lang w:eastAsia="zh-CN"/>
        </w:rPr>
        <w:t>附录1整改问题清单</w:t>
      </w:r>
    </w:p>
    <w:p>
      <w:pPr>
        <w:pStyle w:val="15"/>
        <w:jc w:val="right"/>
        <w:rPr>
          <w:lang w:eastAsia="zh-CN"/>
        </w:rPr>
      </w:pPr>
      <w:r>
        <w:rPr>
          <w:lang w:eastAsia="zh-CN"/>
        </w:rPr>
        <w:t>问题清单表（参考格式）</w:t>
      </w:r>
    </w:p>
    <w:tbl>
      <w:tblPr>
        <w:tblStyle w:val="4"/>
        <w:tblW w:w="0" w:type="auto"/>
        <w:jc w:val="center"/>
        <w:tblLayout w:type="fixed"/>
        <w:tblCellMar>
          <w:top w:w="0" w:type="dxa"/>
          <w:left w:w="10" w:type="dxa"/>
          <w:bottom w:w="0" w:type="dxa"/>
          <w:right w:w="10" w:type="dxa"/>
        </w:tblCellMar>
      </w:tblPr>
      <w:tblGrid>
        <w:gridCol w:w="941"/>
        <w:gridCol w:w="1291"/>
        <w:gridCol w:w="1296"/>
        <w:gridCol w:w="1982"/>
        <w:gridCol w:w="1406"/>
        <w:gridCol w:w="1286"/>
      </w:tblGrid>
      <w:tr>
        <w:tblPrEx>
          <w:tblCellMar>
            <w:top w:w="0" w:type="dxa"/>
            <w:left w:w="10" w:type="dxa"/>
            <w:bottom w:w="0" w:type="dxa"/>
            <w:right w:w="10" w:type="dxa"/>
          </w:tblCellMar>
        </w:tblPrEx>
        <w:trPr>
          <w:trHeight w:val="418" w:hRule="exact"/>
          <w:jc w:val="center"/>
        </w:trPr>
        <w:tc>
          <w:tcPr>
            <w:tcW w:w="941" w:type="dxa"/>
            <w:vMerge w:val="restart"/>
            <w:tcBorders>
              <w:top w:val="single" w:color="auto" w:sz="4" w:space="0"/>
              <w:left w:val="single" w:color="auto" w:sz="4" w:space="0"/>
            </w:tcBorders>
            <w:shd w:val="clear" w:color="auto" w:fill="FFFFFF"/>
            <w:vAlign w:val="center"/>
          </w:tcPr>
          <w:p>
            <w:pPr>
              <w:pStyle w:val="17"/>
              <w:spacing w:line="240" w:lineRule="auto"/>
              <w:ind w:firstLine="0"/>
              <w:rPr>
                <w:sz w:val="17"/>
                <w:szCs w:val="17"/>
              </w:rPr>
            </w:pPr>
            <w:r>
              <w:rPr>
                <w:rFonts w:ascii="Times New Roman" w:hAnsi="Times New Roman" w:eastAsia="Times New Roman" w:cs="Times New Roman"/>
                <w:sz w:val="17"/>
                <w:szCs w:val="17"/>
              </w:rPr>
              <w:t>1</w:t>
            </w:r>
            <w:r>
              <w:rPr>
                <w:sz w:val="16"/>
                <w:szCs w:val="16"/>
              </w:rPr>
              <w:t>可题序</w:t>
            </w:r>
            <w:r>
              <w:rPr>
                <w:rFonts w:ascii="Times New Roman" w:hAnsi="Times New Roman" w:eastAsia="Times New Roman" w:cs="Times New Roman"/>
                <w:sz w:val="17"/>
                <w:szCs w:val="17"/>
              </w:rPr>
              <w:t>E</w:t>
            </w:r>
          </w:p>
        </w:tc>
        <w:tc>
          <w:tcPr>
            <w:tcW w:w="2587" w:type="dxa"/>
            <w:gridSpan w:val="2"/>
            <w:tcBorders>
              <w:top w:val="single" w:color="auto" w:sz="4" w:space="0"/>
              <w:left w:val="single" w:color="auto" w:sz="4" w:space="0"/>
            </w:tcBorders>
            <w:shd w:val="clear" w:color="auto" w:fill="FFFFFF"/>
            <w:vAlign w:val="center"/>
          </w:tcPr>
          <w:p>
            <w:pPr>
              <w:pStyle w:val="17"/>
              <w:spacing w:line="240" w:lineRule="auto"/>
              <w:ind w:firstLine="0"/>
              <w:jc w:val="center"/>
              <w:rPr>
                <w:sz w:val="16"/>
                <w:szCs w:val="16"/>
              </w:rPr>
            </w:pPr>
            <w:r>
              <w:rPr>
                <w:sz w:val="16"/>
                <w:szCs w:val="16"/>
              </w:rPr>
              <w:t>对应审核指标</w:t>
            </w:r>
          </w:p>
        </w:tc>
        <w:tc>
          <w:tcPr>
            <w:tcW w:w="1982" w:type="dxa"/>
            <w:vMerge w:val="restart"/>
            <w:tcBorders>
              <w:top w:val="single" w:color="auto" w:sz="4" w:space="0"/>
              <w:left w:val="single" w:color="auto" w:sz="4" w:space="0"/>
            </w:tcBorders>
            <w:shd w:val="clear" w:color="auto" w:fill="FFFFFF"/>
            <w:vAlign w:val="center"/>
          </w:tcPr>
          <w:p>
            <w:pPr>
              <w:pStyle w:val="17"/>
              <w:spacing w:line="240" w:lineRule="auto"/>
              <w:ind w:firstLine="0"/>
              <w:jc w:val="center"/>
              <w:rPr>
                <w:sz w:val="16"/>
                <w:szCs w:val="16"/>
              </w:rPr>
            </w:pPr>
            <w:r>
              <w:rPr>
                <w:sz w:val="16"/>
                <w:szCs w:val="16"/>
              </w:rPr>
              <w:t>问题简明表述</w:t>
            </w:r>
          </w:p>
        </w:tc>
        <w:tc>
          <w:tcPr>
            <w:tcW w:w="1406" w:type="dxa"/>
            <w:vMerge w:val="restart"/>
            <w:tcBorders>
              <w:top w:val="single" w:color="auto" w:sz="4" w:space="0"/>
              <w:left w:val="single" w:color="auto" w:sz="4" w:space="0"/>
            </w:tcBorders>
            <w:shd w:val="clear" w:color="auto" w:fill="FFFFFF"/>
            <w:vAlign w:val="center"/>
          </w:tcPr>
          <w:p>
            <w:pPr>
              <w:pStyle w:val="17"/>
              <w:spacing w:line="240" w:lineRule="auto"/>
              <w:ind w:firstLine="0"/>
              <w:jc w:val="center"/>
              <w:rPr>
                <w:sz w:val="16"/>
                <w:szCs w:val="16"/>
              </w:rPr>
            </w:pPr>
            <w:r>
              <w:rPr>
                <w:sz w:val="16"/>
                <w:szCs w:val="16"/>
              </w:rPr>
              <w:t>问题来源</w:t>
            </w:r>
          </w:p>
        </w:tc>
        <w:tc>
          <w:tcPr>
            <w:tcW w:w="1286" w:type="dxa"/>
            <w:vMerge w:val="restart"/>
            <w:tcBorders>
              <w:top w:val="single" w:color="auto" w:sz="4" w:space="0"/>
              <w:left w:val="single" w:color="auto" w:sz="4" w:space="0"/>
              <w:right w:val="single" w:color="auto" w:sz="4" w:space="0"/>
            </w:tcBorders>
            <w:shd w:val="clear" w:color="auto" w:fill="FFFFFF"/>
            <w:vAlign w:val="center"/>
          </w:tcPr>
          <w:p>
            <w:pPr>
              <w:pStyle w:val="17"/>
              <w:spacing w:line="240" w:lineRule="auto"/>
              <w:ind w:firstLine="0"/>
              <w:jc w:val="center"/>
              <w:rPr>
                <w:sz w:val="16"/>
                <w:szCs w:val="16"/>
              </w:rPr>
            </w:pPr>
            <w:r>
              <w:rPr>
                <w:sz w:val="16"/>
                <w:szCs w:val="16"/>
              </w:rPr>
              <w:t>是否纳入整改</w:t>
            </w:r>
          </w:p>
        </w:tc>
      </w:tr>
      <w:tr>
        <w:tblPrEx>
          <w:tblCellMar>
            <w:top w:w="0" w:type="dxa"/>
            <w:left w:w="10" w:type="dxa"/>
            <w:bottom w:w="0" w:type="dxa"/>
            <w:right w:w="10" w:type="dxa"/>
          </w:tblCellMar>
        </w:tblPrEx>
        <w:trPr>
          <w:trHeight w:val="413" w:hRule="exact"/>
          <w:jc w:val="center"/>
        </w:trPr>
        <w:tc>
          <w:tcPr>
            <w:tcW w:w="941" w:type="dxa"/>
            <w:vMerge w:val="continue"/>
            <w:tcBorders>
              <w:left w:val="single" w:color="auto" w:sz="4" w:space="0"/>
            </w:tcBorders>
            <w:shd w:val="clear" w:color="auto" w:fill="FFFFFF"/>
            <w:vAlign w:val="center"/>
          </w:tcPr>
          <w:p/>
        </w:tc>
        <w:tc>
          <w:tcPr>
            <w:tcW w:w="1291" w:type="dxa"/>
            <w:tcBorders>
              <w:top w:val="single" w:color="auto" w:sz="4" w:space="0"/>
              <w:left w:val="single" w:color="auto" w:sz="4" w:space="0"/>
            </w:tcBorders>
            <w:shd w:val="clear" w:color="auto" w:fill="FFFFFF"/>
            <w:vAlign w:val="center"/>
          </w:tcPr>
          <w:p>
            <w:pPr>
              <w:pStyle w:val="17"/>
              <w:spacing w:line="240" w:lineRule="auto"/>
              <w:ind w:firstLine="0"/>
              <w:jc w:val="center"/>
              <w:rPr>
                <w:sz w:val="16"/>
                <w:szCs w:val="16"/>
              </w:rPr>
            </w:pPr>
            <w:r>
              <w:rPr>
                <w:sz w:val="16"/>
                <w:szCs w:val="16"/>
              </w:rPr>
              <w:t>一级指标</w:t>
            </w:r>
          </w:p>
        </w:tc>
        <w:tc>
          <w:tcPr>
            <w:tcW w:w="1296" w:type="dxa"/>
            <w:tcBorders>
              <w:top w:val="single" w:color="auto" w:sz="4" w:space="0"/>
              <w:left w:val="single" w:color="auto" w:sz="4" w:space="0"/>
            </w:tcBorders>
            <w:shd w:val="clear" w:color="auto" w:fill="FFFFFF"/>
            <w:vAlign w:val="center"/>
          </w:tcPr>
          <w:p>
            <w:pPr>
              <w:pStyle w:val="17"/>
              <w:spacing w:line="240" w:lineRule="auto"/>
              <w:ind w:firstLine="0"/>
              <w:jc w:val="center"/>
              <w:rPr>
                <w:sz w:val="16"/>
                <w:szCs w:val="16"/>
              </w:rPr>
            </w:pPr>
            <w:r>
              <w:rPr>
                <w:sz w:val="16"/>
                <w:szCs w:val="16"/>
              </w:rPr>
              <w:t>二级指标</w:t>
            </w:r>
          </w:p>
        </w:tc>
        <w:tc>
          <w:tcPr>
            <w:tcW w:w="1982" w:type="dxa"/>
            <w:vMerge w:val="continue"/>
            <w:tcBorders>
              <w:left w:val="single" w:color="auto" w:sz="4" w:space="0"/>
            </w:tcBorders>
            <w:shd w:val="clear" w:color="auto" w:fill="FFFFFF"/>
            <w:vAlign w:val="center"/>
          </w:tcPr>
          <w:p/>
        </w:tc>
        <w:tc>
          <w:tcPr>
            <w:tcW w:w="1406" w:type="dxa"/>
            <w:vMerge w:val="continue"/>
            <w:tcBorders>
              <w:left w:val="single" w:color="auto" w:sz="4" w:space="0"/>
            </w:tcBorders>
            <w:shd w:val="clear" w:color="auto" w:fill="FFFFFF"/>
            <w:vAlign w:val="center"/>
          </w:tcPr>
          <w:p/>
        </w:tc>
        <w:tc>
          <w:tcPr>
            <w:tcW w:w="1286" w:type="dxa"/>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50" w:hRule="exact"/>
          <w:jc w:val="center"/>
        </w:trPr>
        <w:tc>
          <w:tcPr>
            <w:tcW w:w="941" w:type="dxa"/>
            <w:tcBorders>
              <w:top w:val="single" w:color="auto" w:sz="4" w:space="0"/>
              <w:left w:val="single" w:color="auto" w:sz="4" w:space="0"/>
            </w:tcBorders>
            <w:shd w:val="clear" w:color="auto" w:fill="FFFFFF"/>
          </w:tcPr>
          <w:p>
            <w:pPr>
              <w:rPr>
                <w:sz w:val="10"/>
                <w:szCs w:val="10"/>
              </w:rPr>
            </w:pPr>
          </w:p>
        </w:tc>
        <w:tc>
          <w:tcPr>
            <w:tcW w:w="1291" w:type="dxa"/>
            <w:tcBorders>
              <w:top w:val="single" w:color="auto" w:sz="4" w:space="0"/>
              <w:left w:val="single" w:color="auto" w:sz="4" w:space="0"/>
            </w:tcBorders>
            <w:shd w:val="clear" w:color="auto" w:fill="FFFFFF"/>
          </w:tcPr>
          <w:p>
            <w:pPr>
              <w:rPr>
                <w:sz w:val="10"/>
                <w:szCs w:val="10"/>
              </w:rPr>
            </w:pPr>
          </w:p>
        </w:tc>
        <w:tc>
          <w:tcPr>
            <w:tcW w:w="1296" w:type="dxa"/>
            <w:tcBorders>
              <w:top w:val="single" w:color="auto" w:sz="4" w:space="0"/>
              <w:left w:val="single" w:color="auto" w:sz="4" w:space="0"/>
            </w:tcBorders>
            <w:shd w:val="clear" w:color="auto" w:fill="FFFFFF"/>
          </w:tcPr>
          <w:p>
            <w:pPr>
              <w:rPr>
                <w:sz w:val="10"/>
                <w:szCs w:val="10"/>
              </w:rPr>
            </w:pPr>
          </w:p>
        </w:tc>
        <w:tc>
          <w:tcPr>
            <w:tcW w:w="1982" w:type="dxa"/>
            <w:tcBorders>
              <w:top w:val="single" w:color="auto" w:sz="4" w:space="0"/>
              <w:left w:val="single" w:color="auto" w:sz="4" w:space="0"/>
            </w:tcBorders>
            <w:shd w:val="clear" w:color="auto" w:fill="FFFFFF"/>
          </w:tcPr>
          <w:p>
            <w:pPr>
              <w:rPr>
                <w:sz w:val="10"/>
                <w:szCs w:val="10"/>
              </w:rPr>
            </w:pPr>
          </w:p>
        </w:tc>
        <w:tc>
          <w:tcPr>
            <w:tcW w:w="1406" w:type="dxa"/>
            <w:tcBorders>
              <w:top w:val="single" w:color="auto" w:sz="4" w:space="0"/>
              <w:left w:val="single" w:color="auto" w:sz="4" w:space="0"/>
            </w:tcBorders>
            <w:shd w:val="clear" w:color="auto" w:fill="FFFFFF"/>
          </w:tcPr>
          <w:p>
            <w:pPr>
              <w:rPr>
                <w:sz w:val="10"/>
                <w:szCs w:val="10"/>
              </w:rPr>
            </w:pPr>
          </w:p>
        </w:tc>
        <w:tc>
          <w:tcPr>
            <w:tcW w:w="128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74" w:hRule="exact"/>
          <w:jc w:val="center"/>
        </w:trPr>
        <w:tc>
          <w:tcPr>
            <w:tcW w:w="941" w:type="dxa"/>
            <w:tcBorders>
              <w:top w:val="single" w:color="auto" w:sz="4" w:space="0"/>
              <w:left w:val="single" w:color="auto" w:sz="4" w:space="0"/>
              <w:bottom w:val="single" w:color="auto" w:sz="4" w:space="0"/>
            </w:tcBorders>
            <w:shd w:val="clear" w:color="auto" w:fill="FFFFFF"/>
          </w:tcPr>
          <w:p>
            <w:pPr>
              <w:rPr>
                <w:sz w:val="10"/>
                <w:szCs w:val="10"/>
              </w:rPr>
            </w:pPr>
          </w:p>
        </w:tc>
        <w:tc>
          <w:tcPr>
            <w:tcW w:w="1291" w:type="dxa"/>
            <w:tcBorders>
              <w:top w:val="single" w:color="auto" w:sz="4" w:space="0"/>
              <w:left w:val="single" w:color="auto" w:sz="4" w:space="0"/>
              <w:bottom w:val="single" w:color="auto" w:sz="4" w:space="0"/>
            </w:tcBorders>
            <w:shd w:val="clear" w:color="auto" w:fill="FFFFFF"/>
          </w:tcPr>
          <w:p>
            <w:pPr>
              <w:rPr>
                <w:sz w:val="10"/>
                <w:szCs w:val="10"/>
              </w:rPr>
            </w:pPr>
          </w:p>
        </w:tc>
        <w:tc>
          <w:tcPr>
            <w:tcW w:w="1296" w:type="dxa"/>
            <w:tcBorders>
              <w:top w:val="single" w:color="auto" w:sz="4" w:space="0"/>
              <w:left w:val="single" w:color="auto" w:sz="4" w:space="0"/>
              <w:bottom w:val="single" w:color="auto" w:sz="4" w:space="0"/>
            </w:tcBorders>
            <w:shd w:val="clear" w:color="auto" w:fill="FFFFFF"/>
          </w:tcPr>
          <w:p>
            <w:pPr>
              <w:rPr>
                <w:sz w:val="10"/>
                <w:szCs w:val="10"/>
              </w:rPr>
            </w:pPr>
          </w:p>
        </w:tc>
        <w:tc>
          <w:tcPr>
            <w:tcW w:w="1982" w:type="dxa"/>
            <w:tcBorders>
              <w:top w:val="single" w:color="auto" w:sz="4" w:space="0"/>
              <w:left w:val="single" w:color="auto" w:sz="4" w:space="0"/>
              <w:bottom w:val="single" w:color="auto" w:sz="4" w:space="0"/>
            </w:tcBorders>
            <w:shd w:val="clear" w:color="auto" w:fill="FFFFFF"/>
          </w:tcPr>
          <w:p>
            <w:pPr>
              <w:rPr>
                <w:sz w:val="10"/>
                <w:szCs w:val="10"/>
              </w:rPr>
            </w:pPr>
          </w:p>
        </w:tc>
        <w:tc>
          <w:tcPr>
            <w:tcW w:w="1406" w:type="dxa"/>
            <w:tcBorders>
              <w:top w:val="single" w:color="auto" w:sz="4" w:space="0"/>
              <w:left w:val="single" w:color="auto" w:sz="4" w:space="0"/>
              <w:bottom w:val="single" w:color="auto" w:sz="4" w:space="0"/>
            </w:tcBorders>
            <w:shd w:val="clear" w:color="auto" w:fill="FFFFFF"/>
          </w:tcPr>
          <w:p>
            <w:pPr>
              <w:rPr>
                <w:sz w:val="10"/>
                <w:szCs w:val="10"/>
              </w:rPr>
            </w:pPr>
          </w:p>
        </w:tc>
        <w:tc>
          <w:tcPr>
            <w:tcW w:w="128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pStyle w:val="19"/>
        <w:spacing w:after="0"/>
        <w:ind w:left="440" w:firstLine="0"/>
        <w:jc w:val="both"/>
        <w:rPr>
          <w:lang w:eastAsia="zh-CN"/>
        </w:rPr>
      </w:pPr>
      <w:r>
        <w:rPr>
          <w:lang w:eastAsia="zh-CN"/>
        </w:rPr>
        <w:t>说明：</w:t>
      </w:r>
      <w:r>
        <w:rPr>
          <w:rFonts w:ascii="Times New Roman" w:hAnsi="Times New Roman" w:eastAsia="Times New Roman" w:cs="Times New Roman"/>
          <w:sz w:val="17"/>
          <w:szCs w:val="17"/>
          <w:lang w:eastAsia="zh-CN"/>
        </w:rPr>
        <w:t>1.</w:t>
      </w:r>
      <w:r>
        <w:rPr>
          <w:lang w:eastAsia="zh-CN"/>
        </w:rPr>
        <w:t>当有部分问题不符合学校实际或者理念观点不对，不拟纳入整改问题清单时，可在“是否纳入整改项”中标注"否”，并予以说明。</w:t>
      </w:r>
    </w:p>
    <w:p>
      <w:pPr>
        <w:pStyle w:val="19"/>
        <w:spacing w:after="340"/>
        <w:ind w:left="920" w:firstLine="0"/>
        <w:rPr>
          <w:lang w:eastAsia="zh-CN"/>
        </w:rPr>
      </w:pPr>
      <w:r>
        <w:rPr>
          <w:rFonts w:ascii="Times New Roman" w:hAnsi="Times New Roman" w:eastAsia="Times New Roman" w:cs="Times New Roman"/>
          <w:sz w:val="17"/>
          <w:szCs w:val="17"/>
          <w:lang w:eastAsia="zh-CN"/>
        </w:rPr>
        <w:t>2</w:t>
      </w:r>
      <w:r>
        <w:rPr>
          <w:lang w:eastAsia="zh-CN"/>
        </w:rPr>
        <w:t>.问题序号的前后排列应与审核指标的前后排列一致。</w:t>
      </w:r>
    </w:p>
    <w:p>
      <w:pPr>
        <w:pStyle w:val="13"/>
        <w:spacing w:after="340" w:line="240" w:lineRule="auto"/>
        <w:ind w:left="420" w:firstLine="0"/>
        <w:rPr>
          <w:b/>
          <w:bCs/>
          <w:lang w:eastAsia="zh-CN"/>
        </w:rPr>
      </w:pPr>
      <w:r>
        <w:rPr>
          <w:b/>
          <w:bCs/>
          <w:lang w:eastAsia="zh-CN"/>
        </w:rPr>
        <w:t>附录2整改问题完成情况一览表</w:t>
      </w:r>
    </w:p>
    <w:p>
      <w:pPr>
        <w:pStyle w:val="15"/>
        <w:ind w:left="2760"/>
        <w:rPr>
          <w:lang w:eastAsia="zh-CN"/>
        </w:rPr>
      </w:pPr>
      <w:r>
        <w:rPr>
          <w:lang w:eastAsia="zh-CN"/>
        </w:rPr>
        <w:t>问题完成情况一览表（参考格式）</w:t>
      </w:r>
    </w:p>
    <w:tbl>
      <w:tblPr>
        <w:tblStyle w:val="4"/>
        <w:tblW w:w="0" w:type="auto"/>
        <w:jc w:val="center"/>
        <w:tblLayout w:type="fixed"/>
        <w:tblCellMar>
          <w:top w:w="0" w:type="dxa"/>
          <w:left w:w="10" w:type="dxa"/>
          <w:bottom w:w="0" w:type="dxa"/>
          <w:right w:w="10" w:type="dxa"/>
        </w:tblCellMar>
      </w:tblPr>
      <w:tblGrid>
        <w:gridCol w:w="998"/>
        <w:gridCol w:w="2107"/>
        <w:gridCol w:w="2971"/>
        <w:gridCol w:w="2122"/>
      </w:tblGrid>
      <w:tr>
        <w:tblPrEx>
          <w:tblCellMar>
            <w:top w:w="0" w:type="dxa"/>
            <w:left w:w="10" w:type="dxa"/>
            <w:bottom w:w="0" w:type="dxa"/>
            <w:right w:w="10" w:type="dxa"/>
          </w:tblCellMar>
        </w:tblPrEx>
        <w:trPr>
          <w:trHeight w:val="706" w:hRule="exact"/>
          <w:jc w:val="center"/>
        </w:trPr>
        <w:tc>
          <w:tcPr>
            <w:tcW w:w="998" w:type="dxa"/>
            <w:tcBorders>
              <w:top w:val="single" w:color="auto" w:sz="4" w:space="0"/>
              <w:left w:val="single" w:color="auto" w:sz="4" w:space="0"/>
            </w:tcBorders>
            <w:shd w:val="clear" w:color="auto" w:fill="FFFFFF"/>
            <w:vAlign w:val="center"/>
          </w:tcPr>
          <w:p>
            <w:pPr>
              <w:pStyle w:val="17"/>
              <w:spacing w:line="240" w:lineRule="auto"/>
              <w:ind w:firstLine="0"/>
              <w:jc w:val="center"/>
              <w:rPr>
                <w:sz w:val="16"/>
                <w:szCs w:val="16"/>
              </w:rPr>
            </w:pPr>
            <w:r>
              <w:rPr>
                <w:sz w:val="16"/>
                <w:szCs w:val="16"/>
              </w:rPr>
              <w:t>问题序号</w:t>
            </w:r>
          </w:p>
        </w:tc>
        <w:tc>
          <w:tcPr>
            <w:tcW w:w="2107" w:type="dxa"/>
            <w:tcBorders>
              <w:top w:val="single" w:color="auto" w:sz="4" w:space="0"/>
              <w:left w:val="single" w:color="auto" w:sz="4" w:space="0"/>
            </w:tcBorders>
            <w:shd w:val="clear" w:color="auto" w:fill="FFFFFF"/>
            <w:vAlign w:val="center"/>
          </w:tcPr>
          <w:p>
            <w:pPr>
              <w:pStyle w:val="17"/>
              <w:spacing w:line="240" w:lineRule="auto"/>
              <w:ind w:firstLine="0"/>
              <w:jc w:val="center"/>
              <w:rPr>
                <w:sz w:val="16"/>
                <w:szCs w:val="16"/>
              </w:rPr>
            </w:pPr>
            <w:r>
              <w:rPr>
                <w:sz w:val="16"/>
                <w:szCs w:val="16"/>
              </w:rPr>
              <w:t>问题简明表述</w:t>
            </w:r>
          </w:p>
        </w:tc>
        <w:tc>
          <w:tcPr>
            <w:tcW w:w="2971" w:type="dxa"/>
            <w:tcBorders>
              <w:top w:val="single" w:color="auto" w:sz="4" w:space="0"/>
              <w:left w:val="single" w:color="auto" w:sz="4" w:space="0"/>
            </w:tcBorders>
            <w:shd w:val="clear" w:color="auto" w:fill="FFFFFF"/>
            <w:vAlign w:val="center"/>
          </w:tcPr>
          <w:p>
            <w:pPr>
              <w:pStyle w:val="17"/>
              <w:spacing w:line="240" w:lineRule="auto"/>
              <w:ind w:firstLine="0"/>
              <w:jc w:val="center"/>
              <w:rPr>
                <w:sz w:val="16"/>
                <w:szCs w:val="16"/>
              </w:rPr>
            </w:pPr>
            <w:r>
              <w:rPr>
                <w:sz w:val="16"/>
                <w:szCs w:val="16"/>
              </w:rPr>
              <w:t>完成情况简述</w:t>
            </w:r>
          </w:p>
        </w:tc>
        <w:tc>
          <w:tcPr>
            <w:tcW w:w="2122" w:type="dxa"/>
            <w:tcBorders>
              <w:top w:val="single" w:color="auto" w:sz="4" w:space="0"/>
              <w:left w:val="single" w:color="auto" w:sz="4" w:space="0"/>
              <w:right w:val="single" w:color="auto" w:sz="4" w:space="0"/>
            </w:tcBorders>
            <w:shd w:val="clear" w:color="auto" w:fill="FFFFFF"/>
            <w:vAlign w:val="center"/>
          </w:tcPr>
          <w:p>
            <w:pPr>
              <w:pStyle w:val="17"/>
              <w:spacing w:line="278" w:lineRule="exact"/>
              <w:ind w:firstLine="0"/>
              <w:jc w:val="center"/>
              <w:rPr>
                <w:sz w:val="16"/>
                <w:szCs w:val="16"/>
                <w:lang w:eastAsia="zh-CN"/>
              </w:rPr>
            </w:pPr>
            <w:r>
              <w:rPr>
                <w:sz w:val="16"/>
                <w:szCs w:val="16"/>
                <w:lang w:eastAsia="zh-CN"/>
              </w:rPr>
              <w:t>完成情况（完成，基本完成，进行中）</w:t>
            </w:r>
          </w:p>
        </w:tc>
      </w:tr>
      <w:tr>
        <w:tblPrEx>
          <w:tblCellMar>
            <w:top w:w="0" w:type="dxa"/>
            <w:left w:w="10" w:type="dxa"/>
            <w:bottom w:w="0" w:type="dxa"/>
            <w:right w:w="10" w:type="dxa"/>
          </w:tblCellMar>
        </w:tblPrEx>
        <w:trPr>
          <w:trHeight w:val="350" w:hRule="exact"/>
          <w:jc w:val="center"/>
        </w:trPr>
        <w:tc>
          <w:tcPr>
            <w:tcW w:w="998" w:type="dxa"/>
            <w:tcBorders>
              <w:top w:val="single" w:color="auto" w:sz="4" w:space="0"/>
              <w:left w:val="single" w:color="auto" w:sz="4" w:space="0"/>
            </w:tcBorders>
            <w:shd w:val="clear" w:color="auto" w:fill="FFFFFF"/>
          </w:tcPr>
          <w:p>
            <w:pPr>
              <w:rPr>
                <w:sz w:val="10"/>
                <w:szCs w:val="10"/>
                <w:lang w:eastAsia="zh-CN"/>
              </w:rPr>
            </w:pPr>
          </w:p>
        </w:tc>
        <w:tc>
          <w:tcPr>
            <w:tcW w:w="2107" w:type="dxa"/>
            <w:tcBorders>
              <w:top w:val="single" w:color="auto" w:sz="4" w:space="0"/>
              <w:left w:val="single" w:color="auto" w:sz="4" w:space="0"/>
            </w:tcBorders>
            <w:shd w:val="clear" w:color="auto" w:fill="FFFFFF"/>
          </w:tcPr>
          <w:p>
            <w:pPr>
              <w:rPr>
                <w:sz w:val="10"/>
                <w:szCs w:val="10"/>
                <w:lang w:eastAsia="zh-CN"/>
              </w:rPr>
            </w:pPr>
          </w:p>
        </w:tc>
        <w:tc>
          <w:tcPr>
            <w:tcW w:w="2971" w:type="dxa"/>
            <w:tcBorders>
              <w:top w:val="single" w:color="auto" w:sz="4" w:space="0"/>
              <w:left w:val="single" w:color="auto" w:sz="4" w:space="0"/>
            </w:tcBorders>
            <w:shd w:val="clear" w:color="auto" w:fill="FFFFFF"/>
          </w:tcPr>
          <w:p>
            <w:pPr>
              <w:rPr>
                <w:sz w:val="10"/>
                <w:szCs w:val="10"/>
                <w:lang w:eastAsia="zh-CN"/>
              </w:rPr>
            </w:pPr>
          </w:p>
        </w:tc>
        <w:tc>
          <w:tcPr>
            <w:tcW w:w="2122"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374" w:hRule="exact"/>
          <w:jc w:val="center"/>
        </w:trPr>
        <w:tc>
          <w:tcPr>
            <w:tcW w:w="998" w:type="dxa"/>
            <w:tcBorders>
              <w:top w:val="single" w:color="auto" w:sz="4" w:space="0"/>
              <w:left w:val="single" w:color="auto" w:sz="4" w:space="0"/>
              <w:bottom w:val="single" w:color="auto" w:sz="4" w:space="0"/>
            </w:tcBorders>
            <w:shd w:val="clear" w:color="auto" w:fill="FFFFFF"/>
          </w:tcPr>
          <w:p>
            <w:pPr>
              <w:rPr>
                <w:sz w:val="10"/>
                <w:szCs w:val="10"/>
                <w:lang w:eastAsia="zh-CN"/>
              </w:rPr>
            </w:pPr>
          </w:p>
        </w:tc>
        <w:tc>
          <w:tcPr>
            <w:tcW w:w="2107" w:type="dxa"/>
            <w:tcBorders>
              <w:top w:val="single" w:color="auto" w:sz="4" w:space="0"/>
              <w:left w:val="single" w:color="auto" w:sz="4" w:space="0"/>
              <w:bottom w:val="single" w:color="auto" w:sz="4" w:space="0"/>
            </w:tcBorders>
            <w:shd w:val="clear" w:color="auto" w:fill="FFFFFF"/>
          </w:tcPr>
          <w:p>
            <w:pPr>
              <w:rPr>
                <w:sz w:val="10"/>
                <w:szCs w:val="10"/>
                <w:lang w:eastAsia="zh-CN"/>
              </w:rPr>
            </w:pPr>
          </w:p>
        </w:tc>
        <w:tc>
          <w:tcPr>
            <w:tcW w:w="2971" w:type="dxa"/>
            <w:tcBorders>
              <w:top w:val="single" w:color="auto" w:sz="4" w:space="0"/>
              <w:left w:val="single" w:color="auto" w:sz="4" w:space="0"/>
              <w:bottom w:val="single" w:color="auto" w:sz="4" w:space="0"/>
            </w:tcBorders>
            <w:shd w:val="clear" w:color="auto" w:fill="FFFFFF"/>
          </w:tcPr>
          <w:p>
            <w:pPr>
              <w:rPr>
                <w:sz w:val="10"/>
                <w:szCs w:val="10"/>
                <w:lang w:eastAsia="zh-CN"/>
              </w:rPr>
            </w:pPr>
          </w:p>
        </w:tc>
        <w:tc>
          <w:tcPr>
            <w:tcW w:w="2122"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lang w:eastAsia="zh-CN"/>
              </w:rPr>
            </w:pPr>
          </w:p>
        </w:tc>
      </w:tr>
    </w:tbl>
    <w:p>
      <w:pPr>
        <w:pStyle w:val="19"/>
        <w:ind w:left="440" w:firstLine="0"/>
        <w:jc w:val="both"/>
        <w:rPr>
          <w:lang w:eastAsia="zh-CN"/>
        </w:rPr>
      </w:pPr>
      <w:r>
        <w:rPr>
          <w:lang w:eastAsia="zh-CN"/>
        </w:rPr>
        <w:t>说明：</w:t>
      </w:r>
      <w:r>
        <w:rPr>
          <w:rFonts w:ascii="Times New Roman" w:hAnsi="Times New Roman" w:eastAsia="Times New Roman" w:cs="Times New Roman"/>
          <w:sz w:val="17"/>
          <w:szCs w:val="17"/>
          <w:lang w:eastAsia="zh-CN"/>
        </w:rPr>
        <w:t>i.</w:t>
      </w:r>
      <w:r>
        <w:rPr>
          <w:lang w:eastAsia="zh-CN"/>
        </w:rPr>
        <w:t>完成情况由学校自我评估。已完全整改的，填写"完成”；问题的大部分已经解决，还有少量遗留，且遗留问题对人才培养质量不会产生影响的，填写“基本完成”；问题的主要部分还未解决尚在整改过程中，填写"进行中”。</w:t>
      </w:r>
    </w:p>
    <w:p>
      <w:pPr>
        <w:pStyle w:val="19"/>
        <w:spacing w:after="120" w:line="240" w:lineRule="auto"/>
        <w:ind w:left="920" w:firstLine="0"/>
        <w:rPr>
          <w:lang w:eastAsia="zh-CN"/>
        </w:rPr>
      </w:pPr>
      <w:r>
        <w:rPr>
          <w:rFonts w:ascii="Times New Roman" w:hAnsi="Times New Roman" w:eastAsia="Times New Roman" w:cs="Times New Roman"/>
          <w:sz w:val="17"/>
          <w:szCs w:val="17"/>
          <w:lang w:eastAsia="zh-CN"/>
        </w:rPr>
        <w:t>2.</w:t>
      </w:r>
      <w:r>
        <w:rPr>
          <w:lang w:eastAsia="zh-CN"/>
        </w:rPr>
        <w:t>问题序号与前问题清单保持一致。</w:t>
      </w:r>
    </w:p>
    <w:sectPr>
      <w:pgSz w:w="9547" w:h="14568"/>
      <w:pgMar w:top="1013" w:right="646" w:bottom="1042" w:left="622"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报宋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A10B3"/>
    <w:multiLevelType w:val="multilevel"/>
    <w:tmpl w:val="0F1A10B3"/>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33C1904"/>
    <w:multiLevelType w:val="multilevel"/>
    <w:tmpl w:val="133C1904"/>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D1F627F"/>
    <w:multiLevelType w:val="multilevel"/>
    <w:tmpl w:val="1D1F627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1476AF5"/>
    <w:multiLevelType w:val="multilevel"/>
    <w:tmpl w:val="21476AF5"/>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E041B49"/>
    <w:multiLevelType w:val="multilevel"/>
    <w:tmpl w:val="2E041B49"/>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4E3362C"/>
    <w:multiLevelType w:val="multilevel"/>
    <w:tmpl w:val="34E3362C"/>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6F630B2"/>
    <w:multiLevelType w:val="multilevel"/>
    <w:tmpl w:val="36F630B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586E35D9"/>
    <w:multiLevelType w:val="multilevel"/>
    <w:tmpl w:val="586E35D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7"/>
  </w:num>
  <w:num w:numId="2">
    <w:abstractNumId w:val="2"/>
  </w:num>
  <w:num w:numId="3">
    <w:abstractNumId w:val="5"/>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1"/>
  <w:bordersDoNotSurroundFooter w:val="1"/>
  <w:documentProtection w:enforcement="0"/>
  <w:defaultTabStop w:val="420"/>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N2Q4NTI1MWVkMGVkNDJlYjQ1ZjM4ZjQ1MzBkM2MifQ=="/>
  </w:docVars>
  <w:rsids>
    <w:rsidRoot w:val="00170BF9"/>
    <w:rsid w:val="00115CE7"/>
    <w:rsid w:val="00170BF9"/>
    <w:rsid w:val="004C2077"/>
    <w:rsid w:val="005E3289"/>
    <w:rsid w:val="00E1538B"/>
    <w:rsid w:val="00F72037"/>
    <w:rsid w:val="4E4D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报宋_GBK" w:hAnsi="方正报宋_GBK" w:eastAsia="方正报宋_GBK" w:cs="方正报宋_GBK"/>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方正报宋_GBK" w:hAnsi="方正报宋_GBK" w:eastAsia="方正报宋_GBK" w:cs="方正报宋_GBK"/>
      <w:color w:val="00000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20"/>
    <w:unhideWhenUsed/>
    <w:uiPriority w:val="99"/>
    <w:pPr>
      <w:tabs>
        <w:tab w:val="center" w:pos="4153"/>
        <w:tab w:val="right" w:pos="8306"/>
      </w:tabs>
      <w:snapToGrid w:val="0"/>
    </w:pPr>
    <w:rPr>
      <w:sz w:val="18"/>
      <w:szCs w:val="18"/>
    </w:rPr>
  </w:style>
  <w:style w:type="paragraph" w:styleId="3">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标题 #1_"/>
    <w:basedOn w:val="5"/>
    <w:link w:val="7"/>
    <w:uiPriority w:val="0"/>
    <w:rPr>
      <w:rFonts w:ascii="宋体" w:hAnsi="宋体" w:eastAsia="宋体" w:cs="宋体"/>
      <w:sz w:val="38"/>
      <w:szCs w:val="38"/>
      <w:u w:val="none"/>
      <w:shd w:val="clear" w:color="auto" w:fill="auto"/>
    </w:rPr>
  </w:style>
  <w:style w:type="paragraph" w:customStyle="1" w:styleId="7">
    <w:name w:val="标题 #1"/>
    <w:basedOn w:val="1"/>
    <w:link w:val="6"/>
    <w:uiPriority w:val="0"/>
    <w:pPr>
      <w:spacing w:before="1020" w:after="1570" w:line="650" w:lineRule="exact"/>
      <w:jc w:val="center"/>
      <w:outlineLvl w:val="0"/>
    </w:pPr>
    <w:rPr>
      <w:rFonts w:ascii="宋体" w:hAnsi="宋体" w:eastAsia="宋体" w:cs="宋体"/>
      <w:sz w:val="38"/>
      <w:szCs w:val="38"/>
    </w:rPr>
  </w:style>
  <w:style w:type="character" w:customStyle="1" w:styleId="8">
    <w:name w:val="页眉或页脚 (2)_"/>
    <w:basedOn w:val="5"/>
    <w:link w:val="9"/>
    <w:uiPriority w:val="0"/>
    <w:rPr>
      <w:rFonts w:ascii="Times New Roman" w:hAnsi="Times New Roman" w:eastAsia="Times New Roman" w:cs="Times New Roman"/>
      <w:sz w:val="20"/>
      <w:szCs w:val="20"/>
      <w:u w:val="none"/>
      <w:shd w:val="clear" w:color="auto" w:fill="auto"/>
    </w:rPr>
  </w:style>
  <w:style w:type="paragraph" w:customStyle="1" w:styleId="9">
    <w:name w:val="页眉或页脚 (2)"/>
    <w:basedOn w:val="1"/>
    <w:link w:val="8"/>
    <w:uiPriority w:val="0"/>
    <w:rPr>
      <w:rFonts w:ascii="Times New Roman" w:hAnsi="Times New Roman" w:eastAsia="Times New Roman" w:cs="Times New Roman"/>
      <w:sz w:val="20"/>
      <w:szCs w:val="20"/>
    </w:rPr>
  </w:style>
  <w:style w:type="character" w:customStyle="1" w:styleId="10">
    <w:name w:val="正文文本 (3)_"/>
    <w:basedOn w:val="5"/>
    <w:link w:val="11"/>
    <w:uiPriority w:val="0"/>
    <w:rPr>
      <w:rFonts w:ascii="黑体" w:hAnsi="黑体" w:eastAsia="黑体" w:cs="黑体"/>
      <w:sz w:val="26"/>
      <w:szCs w:val="26"/>
      <w:u w:val="none"/>
      <w:shd w:val="clear" w:color="auto" w:fill="auto"/>
    </w:rPr>
  </w:style>
  <w:style w:type="paragraph" w:customStyle="1" w:styleId="11">
    <w:name w:val="正文文本 (3)"/>
    <w:basedOn w:val="1"/>
    <w:link w:val="10"/>
    <w:uiPriority w:val="0"/>
    <w:pPr>
      <w:spacing w:after="360"/>
      <w:ind w:left="1540"/>
    </w:pPr>
    <w:rPr>
      <w:rFonts w:ascii="黑体" w:hAnsi="黑体" w:eastAsia="黑体" w:cs="黑体"/>
      <w:sz w:val="26"/>
      <w:szCs w:val="26"/>
    </w:rPr>
  </w:style>
  <w:style w:type="character" w:customStyle="1" w:styleId="12">
    <w:name w:val="正文文本_"/>
    <w:basedOn w:val="5"/>
    <w:link w:val="13"/>
    <w:uiPriority w:val="0"/>
    <w:rPr>
      <w:rFonts w:ascii="宋体" w:hAnsi="宋体" w:eastAsia="宋体" w:cs="宋体"/>
      <w:sz w:val="20"/>
      <w:szCs w:val="20"/>
      <w:u w:val="none"/>
      <w:shd w:val="clear" w:color="auto" w:fill="auto"/>
    </w:rPr>
  </w:style>
  <w:style w:type="paragraph" w:customStyle="1" w:styleId="13">
    <w:name w:val="正文文本1"/>
    <w:basedOn w:val="1"/>
    <w:link w:val="12"/>
    <w:uiPriority w:val="0"/>
    <w:pPr>
      <w:spacing w:line="461" w:lineRule="auto"/>
      <w:ind w:firstLine="400"/>
    </w:pPr>
    <w:rPr>
      <w:rFonts w:ascii="宋体" w:hAnsi="宋体" w:eastAsia="宋体" w:cs="宋体"/>
      <w:sz w:val="20"/>
      <w:szCs w:val="20"/>
    </w:rPr>
  </w:style>
  <w:style w:type="character" w:customStyle="1" w:styleId="14">
    <w:name w:val="表格标题_"/>
    <w:basedOn w:val="5"/>
    <w:link w:val="15"/>
    <w:uiPriority w:val="0"/>
    <w:rPr>
      <w:rFonts w:ascii="宋体" w:hAnsi="宋体" w:eastAsia="宋体" w:cs="宋体"/>
      <w:sz w:val="16"/>
      <w:szCs w:val="16"/>
      <w:u w:val="none"/>
      <w:shd w:val="clear" w:color="auto" w:fill="auto"/>
    </w:rPr>
  </w:style>
  <w:style w:type="paragraph" w:customStyle="1" w:styleId="15">
    <w:name w:val="表格标题"/>
    <w:basedOn w:val="1"/>
    <w:link w:val="14"/>
    <w:uiPriority w:val="0"/>
    <w:rPr>
      <w:rFonts w:ascii="宋体" w:hAnsi="宋体" w:eastAsia="宋体" w:cs="宋体"/>
      <w:sz w:val="16"/>
      <w:szCs w:val="16"/>
    </w:rPr>
  </w:style>
  <w:style w:type="character" w:customStyle="1" w:styleId="16">
    <w:name w:val="其他_"/>
    <w:basedOn w:val="5"/>
    <w:link w:val="17"/>
    <w:uiPriority w:val="0"/>
    <w:rPr>
      <w:rFonts w:ascii="宋体" w:hAnsi="宋体" w:eastAsia="宋体" w:cs="宋体"/>
      <w:sz w:val="20"/>
      <w:szCs w:val="20"/>
      <w:u w:val="none"/>
      <w:shd w:val="clear" w:color="auto" w:fill="auto"/>
    </w:rPr>
  </w:style>
  <w:style w:type="paragraph" w:customStyle="1" w:styleId="17">
    <w:name w:val="其他"/>
    <w:basedOn w:val="1"/>
    <w:link w:val="16"/>
    <w:uiPriority w:val="0"/>
    <w:pPr>
      <w:spacing w:line="461" w:lineRule="auto"/>
      <w:ind w:firstLine="400"/>
    </w:pPr>
    <w:rPr>
      <w:rFonts w:ascii="宋体" w:hAnsi="宋体" w:eastAsia="宋体" w:cs="宋体"/>
      <w:sz w:val="20"/>
      <w:szCs w:val="20"/>
    </w:rPr>
  </w:style>
  <w:style w:type="character" w:customStyle="1" w:styleId="18">
    <w:name w:val="正文文本 (2)_"/>
    <w:basedOn w:val="5"/>
    <w:link w:val="19"/>
    <w:uiPriority w:val="0"/>
    <w:rPr>
      <w:rFonts w:ascii="宋体" w:hAnsi="宋体" w:eastAsia="宋体" w:cs="宋体"/>
      <w:sz w:val="16"/>
      <w:szCs w:val="16"/>
      <w:u w:val="none"/>
      <w:shd w:val="clear" w:color="auto" w:fill="auto"/>
    </w:rPr>
  </w:style>
  <w:style w:type="paragraph" w:customStyle="1" w:styleId="19">
    <w:name w:val="正文文本 (2)"/>
    <w:basedOn w:val="1"/>
    <w:link w:val="18"/>
    <w:uiPriority w:val="0"/>
    <w:pPr>
      <w:spacing w:after="80" w:line="269" w:lineRule="exact"/>
      <w:ind w:firstLine="440"/>
    </w:pPr>
    <w:rPr>
      <w:rFonts w:ascii="宋体" w:hAnsi="宋体" w:eastAsia="宋体" w:cs="宋体"/>
      <w:sz w:val="16"/>
      <w:szCs w:val="16"/>
    </w:rPr>
  </w:style>
  <w:style w:type="character" w:customStyle="1" w:styleId="20">
    <w:name w:val="页脚 字符"/>
    <w:basedOn w:val="5"/>
    <w:link w:val="2"/>
    <w:uiPriority w:val="99"/>
    <w:rPr>
      <w:color w:val="000000"/>
      <w:sz w:val="18"/>
      <w:szCs w:val="18"/>
    </w:rPr>
  </w:style>
  <w:style w:type="character" w:customStyle="1" w:styleId="21">
    <w:name w:val="页眉 字符"/>
    <w:basedOn w:val="5"/>
    <w:link w:val="3"/>
    <w:uiPriority w:val="99"/>
    <w:rPr>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2314</Words>
  <Characters>13193</Characters>
  <Lines>109</Lines>
  <Paragraphs>30</Paragraphs>
  <TotalTime>23</TotalTime>
  <ScaleCrop>false</ScaleCrop>
  <LinksUpToDate>false</LinksUpToDate>
  <CharactersWithSpaces>15477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2023-04-07T07:41:00Z</dcterms:created>
  <dc:creator>Admin</dc:creator>
  <cp:lastModifiedBy>赖康生</cp:lastModifiedBy>
  <dcterms:modified xsi:type="dcterms:W3CDTF">2024-09-27T07:47:46Z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2023-04-07T08:00:31Z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4bc3a71e-3160-44fb-a9fb-31a4e03620b4</vt:lpwstr>
  </property>
  <property fmtid="{D5CDD505-2E9C-101B-9397-08002B2CF9AE}" pid="7" name="MSIP_Label_defa4170-0d19-0005-0004-bc88714345d2_ActionId">
    <vt:lpwstr>76613333-4bac-4e96-a64a-a77767f9d9e1</vt:lpwstr>
  </property>
  <property fmtid="{D5CDD505-2E9C-101B-9397-08002B2CF9AE}" pid="8" name="MSIP_Label_defa4170-0d19-0005-0004-bc88714345d2_ContentBits">
    <vt:lpwstr>0</vt:lpwstr>
  </property>
  <property fmtid="{D5CDD505-2E9C-101B-9397-08002B2CF9AE}" pid="9" name="KSOProductBuildVer">
    <vt:lpwstr>2052-12.1.0.15712</vt:lpwstr>
  </property>
  <property fmtid="{D5CDD505-2E9C-101B-9397-08002B2CF9AE}" pid="10" name="ICV">
    <vt:lpwstr>EC54D741D16F4549A52C968284883FC6_12</vt:lpwstr>
  </property>
</Properties>
</file>